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46788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Pictur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30285EB"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30152C">
              <w:rPr>
                <w:rFonts w:cs="Arial"/>
                <w:b/>
                <w:bCs/>
                <w:i/>
                <w:iCs/>
                <w:color w:val="000066"/>
                <w:sz w:val="22"/>
                <w:szCs w:val="22"/>
                <w:lang w:eastAsia="it-IT"/>
              </w:rPr>
              <w:t xml:space="preserve"> </w:t>
            </w:r>
            <w:proofErr w:type="gramStart"/>
            <w:r w:rsidR="0030152C">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Pictur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46788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467888">
        <w:trPr>
          <w:trHeight w:val="68"/>
          <w:jc w:val="center"/>
        </w:trPr>
        <w:tc>
          <w:tcPr>
            <w:tcW w:w="8782" w:type="dxa"/>
            <w:gridSpan w:val="2"/>
          </w:tcPr>
          <w:p w14:paraId="1D8DD3C9" w14:textId="06DCB7F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3A6FC6" w:rsidRPr="003A6FC6">
              <w:rPr>
                <w:rFonts w:ascii="Tahoma" w:hAnsi="Tahoma" w:cs="Tahoma"/>
                <w:color w:val="000000"/>
                <w:sz w:val="14"/>
                <w:szCs w:val="14"/>
                <w:shd w:val="clear" w:color="auto" w:fill="FFFFFF"/>
                <w:lang w:val="it-IT"/>
              </w:rPr>
              <w:t>Laura Piazza, M</w:t>
            </w:r>
            <w:r w:rsidR="003A6FC6">
              <w:rPr>
                <w:rFonts w:ascii="Tahoma" w:hAnsi="Tahoma" w:cs="Tahoma"/>
                <w:color w:val="000000"/>
                <w:sz w:val="14"/>
                <w:szCs w:val="14"/>
                <w:shd w:val="clear" w:color="auto" w:fill="FFFFFF"/>
                <w:lang w:val="it-IT"/>
              </w:rPr>
              <w:t xml:space="preserve">auro Moresi, Francesco </w:t>
            </w:r>
            <w:proofErr w:type="spellStart"/>
            <w:r w:rsidR="003A6FC6">
              <w:rPr>
                <w:rFonts w:ascii="Tahoma" w:hAnsi="Tahoma" w:cs="Tahoma"/>
                <w:color w:val="000000"/>
                <w:sz w:val="14"/>
                <w:szCs w:val="14"/>
                <w:shd w:val="clear" w:color="auto" w:fill="FFFFFF"/>
                <w:lang w:val="it-IT"/>
              </w:rPr>
              <w:t>Donsì</w:t>
            </w:r>
            <w:proofErr w:type="spellEnd"/>
          </w:p>
          <w:p w14:paraId="1B0F1814" w14:textId="617BA86D"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2023</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E33DD7">
              <w:rPr>
                <w:rFonts w:ascii="Tahoma" w:hAnsi="Tahoma" w:cs="Tahoma"/>
                <w:sz w:val="14"/>
                <w:szCs w:val="14"/>
              </w:rPr>
              <w:t>0</w:t>
            </w:r>
            <w:r w:rsidR="003A6FC6">
              <w:rPr>
                <w:rFonts w:ascii="Tahoma" w:hAnsi="Tahoma" w:cs="Tahoma"/>
                <w:sz w:val="14"/>
                <w:szCs w:val="14"/>
              </w:rPr>
              <w:t>1</w:t>
            </w:r>
            <w:r>
              <w:rPr>
                <w:rFonts w:ascii="Tahoma" w:hAnsi="Tahoma" w:cs="Tahoma"/>
                <w:sz w:val="14"/>
                <w:szCs w:val="14"/>
              </w:rPr>
              <w:t>-</w:t>
            </w:r>
            <w:r w:rsidR="003A6FC6">
              <w:rPr>
                <w:rFonts w:ascii="Tahoma" w:hAnsi="Tahoma" w:cs="Tahoma"/>
                <w:sz w:val="14"/>
                <w:szCs w:val="14"/>
              </w:rPr>
              <w:t>4</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1E050DF" w:rsidR="00E978D0" w:rsidRPr="00B57B36" w:rsidRDefault="00467888" w:rsidP="00E978D0">
      <w:pPr>
        <w:pStyle w:val="CETTitle"/>
      </w:pPr>
      <w:r w:rsidRPr="00467888">
        <w:t xml:space="preserve">Effect of plasma activated water and sodium caseinate based coating on the quality of minimally processed cherry tomatoes during </w:t>
      </w:r>
      <w:proofErr w:type="gramStart"/>
      <w:r w:rsidRPr="00467888">
        <w:t>storage</w:t>
      </w:r>
      <w:proofErr w:type="gramEnd"/>
      <w:r w:rsidRPr="00467888">
        <w:t xml:space="preserve"> </w:t>
      </w:r>
    </w:p>
    <w:p w14:paraId="0488FED2" w14:textId="00C6198C" w:rsidR="00B57E6F" w:rsidRPr="003B12F4" w:rsidRDefault="00467888" w:rsidP="00B57E6F">
      <w:pPr>
        <w:pStyle w:val="CETAuthors"/>
        <w:rPr>
          <w:lang w:val="it-IT"/>
        </w:rPr>
      </w:pPr>
      <w:r w:rsidRPr="003B12F4">
        <w:rPr>
          <w:lang w:val="it-IT"/>
        </w:rPr>
        <w:t>Stefania Volpe</w:t>
      </w:r>
      <w:r w:rsidRPr="003B12F4">
        <w:rPr>
          <w:vertAlign w:val="superscript"/>
          <w:lang w:val="it-IT"/>
        </w:rPr>
        <w:t>a</w:t>
      </w:r>
      <w:r w:rsidRPr="003B12F4">
        <w:rPr>
          <w:lang w:val="it-IT"/>
        </w:rPr>
        <w:t>, Marina Giello</w:t>
      </w:r>
      <w:r w:rsidRPr="003B12F4">
        <w:rPr>
          <w:vertAlign w:val="superscript"/>
          <w:lang w:val="it-IT"/>
        </w:rPr>
        <w:t>a</w:t>
      </w:r>
      <w:r w:rsidRPr="003B12F4">
        <w:rPr>
          <w:lang w:val="it-IT"/>
        </w:rPr>
        <w:t>, Silvana Cavella</w:t>
      </w:r>
      <w:r w:rsidR="00B57E6F" w:rsidRPr="003B12F4">
        <w:rPr>
          <w:vertAlign w:val="superscript"/>
          <w:lang w:val="it-IT"/>
        </w:rPr>
        <w:t>a</w:t>
      </w:r>
      <w:r w:rsidRPr="003B12F4">
        <w:rPr>
          <w:vertAlign w:val="superscript"/>
          <w:lang w:val="it-IT"/>
        </w:rPr>
        <w:t>b</w:t>
      </w:r>
      <w:r w:rsidR="00B57E6F" w:rsidRPr="003B12F4">
        <w:rPr>
          <w:lang w:val="it-IT"/>
        </w:rPr>
        <w:t xml:space="preserve">, </w:t>
      </w:r>
      <w:r w:rsidRPr="003B12F4">
        <w:rPr>
          <w:lang w:val="it-IT"/>
        </w:rPr>
        <w:t>Paolo Masi</w:t>
      </w:r>
      <w:r w:rsidRPr="003B12F4">
        <w:rPr>
          <w:vertAlign w:val="superscript"/>
          <w:lang w:val="it-IT"/>
        </w:rPr>
        <w:t>a</w:t>
      </w:r>
      <w:r w:rsidR="00B57E6F" w:rsidRPr="003B12F4">
        <w:rPr>
          <w:vertAlign w:val="superscript"/>
          <w:lang w:val="it-IT"/>
        </w:rPr>
        <w:t>b</w:t>
      </w:r>
      <w:r w:rsidR="00B57E6F" w:rsidRPr="003B12F4">
        <w:rPr>
          <w:lang w:val="it-IT"/>
        </w:rPr>
        <w:t xml:space="preserve">, </w:t>
      </w:r>
      <w:r w:rsidRPr="003B12F4">
        <w:rPr>
          <w:lang w:val="it-IT"/>
        </w:rPr>
        <w:t>Francesco Villani</w:t>
      </w:r>
      <w:r w:rsidRPr="003B12F4">
        <w:rPr>
          <w:vertAlign w:val="superscript"/>
          <w:lang w:val="it-IT"/>
        </w:rPr>
        <w:t>a</w:t>
      </w:r>
      <w:r w:rsidRPr="003B12F4">
        <w:rPr>
          <w:lang w:val="it-IT"/>
        </w:rPr>
        <w:t>, Elena Torrieri</w:t>
      </w:r>
      <w:r w:rsidRPr="003B12F4">
        <w:rPr>
          <w:vertAlign w:val="superscript"/>
          <w:lang w:val="it-IT"/>
        </w:rPr>
        <w:t>a</w:t>
      </w:r>
      <w:r w:rsidRPr="003B12F4">
        <w:rPr>
          <w:lang w:val="it-IT"/>
        </w:rPr>
        <w:t>*</w:t>
      </w:r>
    </w:p>
    <w:p w14:paraId="4F3B050E" w14:textId="77777777" w:rsidR="0053103F" w:rsidRDefault="00B57E6F" w:rsidP="00B57E6F">
      <w:pPr>
        <w:pStyle w:val="CETAddress"/>
      </w:pPr>
      <w:r w:rsidRPr="00B57B36">
        <w:rPr>
          <w:vertAlign w:val="superscript"/>
        </w:rPr>
        <w:t>a</w:t>
      </w:r>
      <w:r w:rsidR="00F81B1B">
        <w:t xml:space="preserve">Department of Agricultural Sciences, University of Naples “Federico II”, Via Università 100, 80055 Portici (NA), Italy </w:t>
      </w:r>
    </w:p>
    <w:p w14:paraId="3D72B0B0" w14:textId="6A90C74F" w:rsidR="00B57E6F" w:rsidRPr="00B57B36" w:rsidRDefault="00B57E6F" w:rsidP="00B57E6F">
      <w:pPr>
        <w:pStyle w:val="CETAddress"/>
      </w:pPr>
      <w:r w:rsidRPr="00B57B36">
        <w:rPr>
          <w:vertAlign w:val="superscript"/>
        </w:rPr>
        <w:t>b</w:t>
      </w:r>
      <w:r w:rsidR="00F81B1B">
        <w:t>Centre for Food Innovation and Development in the Food Industry- CAISIAL, University of Naples “Federico II”, Via Università 133, 80055 Portici (NA), Italy</w:t>
      </w:r>
    </w:p>
    <w:p w14:paraId="73F1267A" w14:textId="0BD8DA92" w:rsidR="00B57E6F" w:rsidRPr="00B57B36" w:rsidRDefault="00F81B1B" w:rsidP="00B57E6F">
      <w:pPr>
        <w:pStyle w:val="CETemail"/>
      </w:pPr>
      <w:r>
        <w:t>elena.torrieri@unina.it</w:t>
      </w:r>
    </w:p>
    <w:p w14:paraId="460F3E3B" w14:textId="49525BC2" w:rsidR="00925110" w:rsidRDefault="00925110" w:rsidP="00925110">
      <w:r>
        <w:t>The objective of the work was to preserve the quality of minimally processed</w:t>
      </w:r>
      <w:r w:rsidR="003A006A">
        <w:t xml:space="preserve"> (MP)</w:t>
      </w:r>
      <w:r>
        <w:t xml:space="preserve"> cherry tomatoes during storage combining plasma activated water (PAW) washing treatment and sodium caseinate (SC) based edible coating </w:t>
      </w:r>
      <w:proofErr w:type="gramStart"/>
      <w:r>
        <w:t>by:</w:t>
      </w:r>
      <w:proofErr w:type="gramEnd"/>
      <w:r>
        <w:t xml:space="preserve">1) optimizing the sodium caseinate coating formulation to reduce the respiration rate of the product; 2) assessing the impact of the combination of (PAW) and coating on the quality of the product during shelf life. Cherry tomatoes (Solanum </w:t>
      </w:r>
      <w:proofErr w:type="spellStart"/>
      <w:r>
        <w:t>lycopersicum</w:t>
      </w:r>
      <w:proofErr w:type="spellEnd"/>
      <w:r>
        <w:t xml:space="preserve"> var. cerasiforme) were coated with SC blended with chitosan (CH) (2% CH/ 4% SC) or guar gum (GG) (8% SC/0,2 % GG; 8% SC/0,3 % GG; 8% SC/0,4 % GG)). Respiration rate </w:t>
      </w:r>
      <w:r w:rsidR="003A006A">
        <w:t xml:space="preserve">results </w:t>
      </w:r>
      <w:r>
        <w:t xml:space="preserve">showed that SC/CH coating did not affect the respiration rate of </w:t>
      </w:r>
      <w:r w:rsidR="003A006A">
        <w:t>MP</w:t>
      </w:r>
      <w:r>
        <w:t xml:space="preserve"> cherry tomatoes, whereas SC/GG blends at</w:t>
      </w:r>
      <w:r w:rsidR="003A006A">
        <w:t xml:space="preserve"> 0.2 %</w:t>
      </w:r>
      <w:r>
        <w:t xml:space="preserve"> was able to reduce the respiration rate of almost the 50% at 20°C.</w:t>
      </w:r>
      <w:r w:rsidRPr="00F51447">
        <w:t xml:space="preserve"> </w:t>
      </w:r>
      <w:r w:rsidR="003A006A">
        <w:t>However, to</w:t>
      </w:r>
      <w:r>
        <w:t xml:space="preserve"> avoid the surface stickiness, beeswax (BW) has been included to the matrix. PAW and coating preserved the colour of the product and increased the total polyphenol as well as the microbiological quality of the product during storage.</w:t>
      </w:r>
      <w:r w:rsidRPr="00925110">
        <w:t xml:space="preserve"> </w:t>
      </w:r>
    </w:p>
    <w:p w14:paraId="6FDB7208" w14:textId="77777777" w:rsidR="00925110" w:rsidRDefault="00925110" w:rsidP="00925110"/>
    <w:p w14:paraId="476B2F2E" w14:textId="75E675C5" w:rsidR="00600535" w:rsidRDefault="00600535" w:rsidP="00600535">
      <w:pPr>
        <w:pStyle w:val="CETHeading1"/>
        <w:rPr>
          <w:lang w:val="en-GB"/>
        </w:rPr>
      </w:pPr>
      <w:r w:rsidRPr="00B57B36">
        <w:rPr>
          <w:lang w:val="en-GB"/>
        </w:rPr>
        <w:t>Introduction</w:t>
      </w:r>
    </w:p>
    <w:p w14:paraId="25410D11" w14:textId="645E1A68" w:rsidR="00775A8C" w:rsidRDefault="000754C4" w:rsidP="00775A8C">
      <w:pPr>
        <w:pStyle w:val="CETBodytext"/>
      </w:pPr>
      <w:r>
        <w:t>In the last years, minimally processed fruit and vegetables</w:t>
      </w:r>
      <w:r w:rsidR="00C8621C">
        <w:t xml:space="preserve"> have gained attention due to the health benefits and convenience.</w:t>
      </w:r>
      <w:r>
        <w:t xml:space="preserve"> </w:t>
      </w:r>
      <w:proofErr w:type="spellStart"/>
      <w:r w:rsidR="00775A8C">
        <w:t>Tomatoe</w:t>
      </w:r>
      <w:proofErr w:type="spellEnd"/>
      <w:r w:rsidR="00775A8C">
        <w:t xml:space="preserve"> (Solanum </w:t>
      </w:r>
      <w:proofErr w:type="spellStart"/>
      <w:r w:rsidR="00775A8C">
        <w:t>lycopersicum</w:t>
      </w:r>
      <w:proofErr w:type="spellEnd"/>
      <w:r w:rsidR="00775A8C">
        <w:t xml:space="preserve"> L.) is </w:t>
      </w:r>
      <w:r w:rsidR="00C8621C">
        <w:t xml:space="preserve">one of the major </w:t>
      </w:r>
      <w:r w:rsidR="00775A8C">
        <w:t>ingredient in many countries</w:t>
      </w:r>
      <w:r w:rsidR="00C8621C">
        <w:t xml:space="preserve">, and its consumption is correlated to low incidence of cardiac disease, due to the presence of lycopene and </w:t>
      </w:r>
      <w:r w:rsidR="00C8621C" w:rsidRPr="001E3A0C">
        <w:rPr>
          <w:rFonts w:ascii="Symbol" w:hAnsi="Symbol"/>
        </w:rPr>
        <w:t>b</w:t>
      </w:r>
      <w:r w:rsidR="00C8621C">
        <w:t xml:space="preserve">-carotene </w:t>
      </w:r>
      <w:r w:rsidR="00C8621C">
        <w:fldChar w:fldCharType="begin" w:fldLock="1"/>
      </w:r>
      <w:r w:rsidR="005D5B6B">
        <w:instrText>ADDIN CSL_CITATION {"citationItems":[{"id":"ITEM-1","itemData":{"DOI":"10.1016/j.postharvbio.2012.09.011","ISSN":"09255214","abstract":"Coating of tomato fruit with gum arabic has been found to delay the ripening process and maintain the antioxidant capacity. Gum arabic in aqueous solutions of 5, 10, 15 and 20% was applied as an edible coating to green-mature tomatoes which were stored at 20 °C and 80-90% RH for 20 days. Fruit coated with 10% gum arabic delayed the ripening process by slowing down the rate of respiration and ethylene production and also maintained total antioxidant capacity, lycopene content, total phenolics and total carotenoids during storage as compared to the uncoated control and fruit treated with 5% gum arabic concentration. The results suggest that by using 10% gum arabic as an edible coating, the ripening process of tomatoes can be delayed and the antioxidant can be preserved for up to 20 days during storage at 20 °C without any negative effects on postharvest quality. © 2012 Elsevier B.V.","author":[{"dropping-particle":"","family":"Ali","given":"Asgar","non-dropping-particle":"","parse-names":false,"suffix":""},{"dropping-particle":"","family":"Maqbool","given":"Mehdi","non-dropping-particle":"","parse-names":false,"suffix":""},{"dropping-particle":"","family":"Alderson","given":"Peter G.","non-dropping-particle":"","parse-names":false,"suffix":""},{"dropping-particle":"","family":"Zahid","given":"Noosheen","non-dropping-particle":"","parse-names":false,"suffix":""}],"container-title":"Postharvest Biology and Technology","id":"ITEM-1","issued":{"date-parts":[["2013"]]},"page":"119-124","publisher":"Elsevier B.V.","title":"Effect of gum arabic as an edible coating on antioxidant capacity of tomato (Solanum lycopersicum L.) fruit during storage","type":"article-journal","volume":"76"},"uris":["http://www.mendeley.com/documents/?uuid=217bca36-d456-4264-8072-efa4e56792d7"]}],"mendeley":{"formattedCitation":"(Ali, Maqbool, Alderson, &amp; Zahid, 2013)","plainTextFormattedCitation":"(Ali, Maqbool, Alderson, &amp; Zahid, 2013)","previouslyFormattedCitation":"(Ali et al., 2013)"},"properties":{"noteIndex":0},"schema":"https://github.com/citation-style-language/schema/raw/master/csl-citation.json"}</w:instrText>
      </w:r>
      <w:r w:rsidR="00C8621C">
        <w:fldChar w:fldCharType="separate"/>
      </w:r>
      <w:r w:rsidR="005D5B6B" w:rsidRPr="005D5B6B">
        <w:rPr>
          <w:noProof/>
        </w:rPr>
        <w:t>(Ali, Maqbool, Alderson, &amp; Zahid, 2013)</w:t>
      </w:r>
      <w:r w:rsidR="00C8621C">
        <w:fldChar w:fldCharType="end"/>
      </w:r>
      <w:r w:rsidR="00775A8C">
        <w:t xml:space="preserve">. </w:t>
      </w:r>
      <w:r w:rsidR="00C8621C">
        <w:t>However, t</w:t>
      </w:r>
      <w:r w:rsidR="000F6662">
        <w:t>he shelf</w:t>
      </w:r>
      <w:r w:rsidR="00775A8C">
        <w:t xml:space="preserve"> life is very short due to its high moisture content, postharvest diseases, increased ripening and senescence</w:t>
      </w:r>
      <w:r w:rsidR="000F6662">
        <w:t xml:space="preserve"> </w:t>
      </w:r>
      <w:r w:rsidR="000F6662">
        <w:fldChar w:fldCharType="begin" w:fldLock="1"/>
      </w:r>
      <w:r w:rsidR="005D5B6B">
        <w:instrText>ADDIN CSL_CITATION {"citationItems":[{"id":"ITEM-1","itemData":{"DOI":"10.1155/2017/8608304","ISSN":"17454557","abstract":"There exists an increasing interest from consumers and scientific community in developing edible-natural-biodegradable coatings to replace commercial wax-based coatings for maintaining postharvest quality of vegetables. In this work, the effectiveness of guar gum coating on various quality characteristics of Roma tomato at 22 ± 2</w:instrText>
      </w:r>
      <w:r w:rsidR="005D5B6B">
        <w:rPr>
          <w:rFonts w:ascii="Cambria Math" w:hAnsi="Cambria Math" w:cs="Cambria Math"/>
        </w:rPr>
        <w:instrText>∘</w:instrText>
      </w:r>
      <w:r w:rsidR="005D5B6B">
        <w:instrText xml:space="preserve"> C over a 20 d storage period was investigated. Tomatoes were covered with a 1.5% guar gum coating plasticized with glycerol at 30% and stored at 22 ± 2</w:instrText>
      </w:r>
      <w:r w:rsidR="005D5B6B">
        <w:rPr>
          <w:rFonts w:ascii="Cambria Math" w:hAnsi="Cambria Math" w:cs="Cambria Math"/>
        </w:rPr>
        <w:instrText>∘</w:instrText>
      </w:r>
      <w:r w:rsidR="005D5B6B">
        <w:instrText xml:space="preserve"> Cand 40%RHfor 20-d. Tomatoes covered with edible coating significantly enhanced firmness and reduced weight loss, delayed changes on soluble-solids-content, retarded loss of total acidity, and decreased respiration rate compared with uncoated-control fruit. Sensory analysis by trained panelists revealed that the use of the edible coating influenced the acceptability of tomatoes. There were significant differences on the scores given by panelists when comparing the coated and uncoated tomatoes. It was concluded that guar gum affected favorably the physicochemical, microbial, and sensorial quality properties of Roma tomato and therefore could be beneficial in delaying the ripening process at 22 ± 2</w:instrText>
      </w:r>
      <w:r w:rsidR="005D5B6B">
        <w:rPr>
          <w:rFonts w:ascii="Cambria Math" w:hAnsi="Cambria Math" w:cs="Cambria Math"/>
        </w:rPr>
        <w:instrText>∘</w:instrText>
      </w:r>
      <w:r w:rsidR="005D5B6B">
        <w:instrText xml:space="preserve"> C.","author":[{"dropping-particle":"","family":"Ruelas-Chacon","given":"X.","non-dropping-particle":"","parse-names":false,"suffix":""},{"dropping-particle":"","family":"Contreras-Esquivel","given":"J. C.","non-dropping-particle":"","parse-names":false,"suffix":""},{"dropping-particle":"","family":"Montañez","given":"J.","non-dropping-particle":"","parse-names":false,"suffix":""},{"dropping-particle":"","family":"Aguilera-Carbo","given":"A. F.","non-dropping-particle":"","parse-names":false,"suffix":""},{"dropping-particle":"","family":"Reyes-Vega","given":"M. L.","non-dropping-particle":"","parse-names":false,"suffix":""},{"dropping-particle":"","family":"Peralta-Rodriguez","given":"R. D.","non-dropping-particle":"","parse-names":false,"suffix":""},{"dropping-particle":"","family":"Sanchéz-Brambila","given":"G.","non-dropping-particle":"","parse-names":false,"suffix":""}],"container-title":"Journal of Food Quality","id":"ITEM-1","issued":{"date-parts":[["2017"]]},"title":"Guar gum as an edible coating for enhancing shelf-life and improving postharvest quality of roma tomato (Solanum lycopersicum L.)","type":"article-journal","volume":"2017"},"uris":["http://www.mendeley.com/documents/?uuid=7a91e001-30c6-4010-b9a6-ec1ff2a80bf3"]}],"mendeley":{"formattedCitation":"(Ruelas-Chacon et al., 2017)","plainTextFormattedCitation":"(Ruelas-Chacon et al., 2017)","previouslyFormattedCitation":"(Ruelas-Chacon et al., 2017)"},"properties":{"noteIndex":0},"schema":"https://github.com/citation-style-language/schema/raw/master/csl-citation.json"}</w:instrText>
      </w:r>
      <w:r w:rsidR="000F6662">
        <w:fldChar w:fldCharType="separate"/>
      </w:r>
      <w:r w:rsidR="000F6662" w:rsidRPr="000F6662">
        <w:rPr>
          <w:noProof/>
        </w:rPr>
        <w:t>(Ruelas-Chacon et al., 2017)</w:t>
      </w:r>
      <w:r w:rsidR="000F6662">
        <w:fldChar w:fldCharType="end"/>
      </w:r>
      <w:r w:rsidR="00775A8C">
        <w:t>.</w:t>
      </w:r>
      <w:r w:rsidR="00C8621C">
        <w:t xml:space="preserve"> It has been estimated that in some developing countries, losses and waste for tomato reached 50% </w:t>
      </w:r>
      <w:r w:rsidR="00C8621C">
        <w:fldChar w:fldCharType="begin" w:fldLock="1"/>
      </w:r>
      <w:r w:rsidR="005D5B6B">
        <w:instrText>ADDIN CSL_CITATION {"citationItems":[{"id":"ITEM-1","itemData":{"author":[{"dropping-particle":"","family":"Yahia","given":"Elhadi M","non-dropping-particle":"","parse-names":false,"suffix":""}],"id":"ITEM-1","issued":{"date-parts":[["2009"]]},"title":"1.1 Introduction","type":"article-journal"},"uris":["http://www.mendeley.com/documents/?uuid=9443df85-f136-4d6b-8975-1996317f6dd5","http://www.mendeley.com/documents/?uuid=9b503536-d0d1-4cd8-bcbe-e9b7f15bc306"]}],"mendeley":{"formattedCitation":"(Yahia, 2009)","plainTextFormattedCitation":"(Yahia, 2009)","previouslyFormattedCitation":"(Yahia, 2009)"},"properties":{"noteIndex":0},"schema":"https://github.com/citation-style-language/schema/raw/master/csl-citation.json"}</w:instrText>
      </w:r>
      <w:r w:rsidR="00C8621C">
        <w:fldChar w:fldCharType="separate"/>
      </w:r>
      <w:r w:rsidR="00C8621C" w:rsidRPr="00C8621C">
        <w:rPr>
          <w:noProof/>
        </w:rPr>
        <w:t>(Yahia, 2009)</w:t>
      </w:r>
      <w:r w:rsidR="00C8621C">
        <w:fldChar w:fldCharType="end"/>
      </w:r>
      <w:r w:rsidR="00C8621C">
        <w:t>.</w:t>
      </w:r>
      <w:r w:rsidR="00775A8C">
        <w:t xml:space="preserve"> </w:t>
      </w:r>
      <w:r w:rsidR="006768F4">
        <w:t>The r</w:t>
      </w:r>
      <w:r w:rsidR="00775A8C">
        <w:t>espiration rate is one of the most critical aspects because affects the fruit ripening, deterioration and in turn the postharvest shelf life</w:t>
      </w:r>
      <w:r w:rsidR="006768F4">
        <w:t xml:space="preserve"> </w:t>
      </w:r>
      <w:r w:rsidR="006768F4">
        <w:fldChar w:fldCharType="begin" w:fldLock="1"/>
      </w:r>
      <w:r w:rsidR="005D5B6B">
        <w:instrText>ADDIN CSL_CITATION {"citationItems":[{"id":"ITEM-1","itemData":{"DOI":"10.1016/j.postharvbio.2012.09.011","ISSN":"09255214","abstract":"Coating of tomato fruit with gum arabic has been found to delay the ripening process and maintain the antioxidant capacity. Gum arabic in aqueous solutions of 5, 10, 15 and 20% was applied as an edible coating to green-mature tomatoes which were stored at 20 °C and 80-90% RH for 20 days. Fruit coated with 10% gum arabic delayed the ripening process by slowing down the rate of respiration and ethylene production and also maintained total antioxidant capacity, lycopene content, total phenolics and total carotenoids during storage as compared to the uncoated control and fruit treated with 5% gum arabic concentration. The results suggest that by using 10% gum arabic as an edible coating, the ripening process of tomatoes can be delayed and the antioxidant can be preserved for up to 20 days during storage at 20 °C without any negative effects on postharvest quality. © 2012 Elsevier B.V.","author":[{"dropping-particle":"","family":"Ali","given":"Asgar","non-dropping-particle":"","parse-names":false,"suffix":""},{"dropping-particle":"","family":"Maqbool","given":"Mehdi","non-dropping-particle":"","parse-names":false,"suffix":""},{"dropping-particle":"","family":"Alderson","given":"Peter G.","non-dropping-particle":"","parse-names":false,"suffix":""},{"dropping-particle":"","family":"Zahid","given":"Noosheen","non-dropping-particle":"","parse-names":false,"suffix":""}],"container-title":"Postharvest Biology and Technology","id":"ITEM-1","issued":{"date-parts":[["2013"]]},"page":"119-124","publisher":"Elsevier B.V.","title":"Effect of gum arabic as an edible coating on antioxidant capacity of tomato (Solanum lycopersicum L.) fruit during storage","type":"article-journal","volume":"76"},"uris":["http://www.mendeley.com/documents/?uuid=217bca36-d456-4264-8072-efa4e56792d7"]}],"mendeley":{"formattedCitation":"(Ali et al., 2013)","plainTextFormattedCitation":"(Ali et al., 2013)","previouslyFormattedCitation":"(Ali et al., 2013)"},"properties":{"noteIndex":0},"schema":"https://github.com/citation-style-language/schema/raw/master/csl-citation.json"}</w:instrText>
      </w:r>
      <w:r w:rsidR="006768F4">
        <w:fldChar w:fldCharType="separate"/>
      </w:r>
      <w:r w:rsidR="006768F4" w:rsidRPr="006768F4">
        <w:rPr>
          <w:noProof/>
        </w:rPr>
        <w:t>(Ali et al., 2013)</w:t>
      </w:r>
      <w:r w:rsidR="006768F4">
        <w:fldChar w:fldCharType="end"/>
      </w:r>
      <w:r w:rsidR="006768F4">
        <w:t xml:space="preserve">. The reduction of storage temperature can reduce the respiration rate, but can also be responsible for chilling injury and damage the fruit </w:t>
      </w:r>
      <w:r w:rsidR="006768F4">
        <w:fldChar w:fldCharType="begin" w:fldLock="1"/>
      </w:r>
      <w:r w:rsidR="005D5B6B">
        <w:instrText>ADDIN CSL_CITATION {"citationItems":[{"id":"ITEM-1","itemData":{"DOI":"10.1002/jsfa","author":[{"dropping-particle":"","family":"Mart","given":"Domingo","non-dropping-particle":"","parse-names":false,"suffix":""},{"dropping-particle":"","family":"Zapata","given":"Pedro Javier","non-dropping-particle":"","parse-names":false,"suffix":""},{"dropping-particle":"","family":"Castillo","given":"Salvador","non-dropping-particle":"","parse-names":false,"suffix":""},{"dropping-particle":"","family":"Valero","given":"Daniel","non-dropping-particle":"","parse-names":false,"suffix":""}],"id":"ITEM-1","issue":"September 2007","issued":{"date-parts":[["2008"]]},"page":"1287-1293","title":"Use of alginate or zein as edible coatings to delay postharvest ripening process and to maintain tomato ( Solanum lycopersicon Mill ) quality","type":"article-journal","volume":"1293"},"uris":["http://www.mendeley.com/documents/?uuid=dbe8b75c-d2c3-4fa1-a3ca-e619ea91fc7c","http://www.mendeley.com/documents/?uuid=82c97875-48e9-4ae5-b930-9a13b0cace7d"]}],"mendeley":{"formattedCitation":"(Mart, Zapata, Castillo, &amp; Valero, 2008)","manualFormatting":"(Zapata et al., 2008)","plainTextFormattedCitation":"(Mart, Zapata, Castillo, &amp; Valero, 2008)","previouslyFormattedCitation":"(Mart et al., 2008)"},"properties":{"noteIndex":0},"schema":"https://github.com/citation-style-language/schema/raw/master/csl-citation.json"}</w:instrText>
      </w:r>
      <w:r w:rsidR="006768F4">
        <w:fldChar w:fldCharType="separate"/>
      </w:r>
      <w:r w:rsidR="006768F4" w:rsidRPr="006768F4">
        <w:rPr>
          <w:noProof/>
        </w:rPr>
        <w:t>(</w:t>
      </w:r>
      <w:r w:rsidR="006768F4">
        <w:rPr>
          <w:noProof/>
        </w:rPr>
        <w:t>Zapata</w:t>
      </w:r>
      <w:r w:rsidR="006768F4" w:rsidRPr="006768F4">
        <w:rPr>
          <w:noProof/>
        </w:rPr>
        <w:t xml:space="preserve"> et al., 2008)</w:t>
      </w:r>
      <w:r w:rsidR="006768F4">
        <w:fldChar w:fldCharType="end"/>
      </w:r>
      <w:r w:rsidR="00775A8C">
        <w:t>. A</w:t>
      </w:r>
      <w:r w:rsidR="00B52749">
        <w:t>nother</w:t>
      </w:r>
      <w:r w:rsidR="00775A8C">
        <w:t xml:space="preserve"> way to control these factors could be the application of edible coating</w:t>
      </w:r>
      <w:r w:rsidR="00683741">
        <w:t xml:space="preserve">. </w:t>
      </w:r>
      <w:r w:rsidR="00A719FC">
        <w:t xml:space="preserve">Edible coatings are a promising </w:t>
      </w:r>
      <w:r w:rsidR="00A719FC" w:rsidRPr="0023185F">
        <w:t>sustainable preservation technology for shelf-life extension of minimally processed foods</w:t>
      </w:r>
      <w:r w:rsidR="00A719FC">
        <w:t>.</w:t>
      </w:r>
      <w:r w:rsidR="00775A8C">
        <w:t xml:space="preserve"> </w:t>
      </w:r>
      <w:r w:rsidR="00282444">
        <w:t xml:space="preserve">They can </w:t>
      </w:r>
      <w:r w:rsidR="00B52749">
        <w:t>act as semipermeable barriers, modifying the atmosphere surrounding the fruit, and thus controlling the gas exchange, reducing water loss, and maintaining tissue firmness</w:t>
      </w:r>
      <w:r w:rsidR="007F3532">
        <w:t xml:space="preserve"> </w:t>
      </w:r>
      <w:r w:rsidR="001004D8">
        <w:fldChar w:fldCharType="begin" w:fldLock="1"/>
      </w:r>
      <w:r w:rsidR="005D5B6B">
        <w:instrText>ADDIN CSL_CITATION {"citationItems":[{"id":"ITEM-1","itemData":{"DOI":"10.1002/jsfa.3405","author":[{"dropping-particle":"","family":"Gonz","given":"Gustavo A","non-dropping-particle":"","parse-names":false,"suffix":""},{"dropping-particle":"","family":"Valenzuela-soto","given":"Elisa","non-dropping-particle":"","parse-names":false,"suffix":""},{"dropping-particle":"","family":"Lizardi-mendoza","given":"Jaime","non-dropping-particle":"","parse-names":false,"suffix":""},{"dropping-particle":"","family":"Goycoolea","given":"Francisco","non-dropping-particle":"","parse-names":false,"suffix":""},{"dropping-particle":"","family":"Mart","given":"Miguel A","non-dropping-particle":"","parse-names":false,"suffix":""},{"dropping-particle":"","family":"Ayala-zavala","given":"J Fernando","non-dropping-particle":"","parse-names":false,"suffix":""}],"id":"ITEM-1","issue":"August 2008","issued":{"date-parts":[["2009"]]},"page":"15-23","title":"Effect of chitosan coating in preventing deterioration and preserving the quality of fresh-cut papaya ‘ Maradol ’ A Villegas-Ochoa , Imelda N Monroy-Garc ´","type":"article-journal"},"uris":["http://www.mendeley.com/documents/?uuid=05703720-f77f-419a-a464-fc3886339a6e","http://www.mendeley.com/documents/?uuid=b10c90fb-2754-4bf5-83bb-8bd6b35224f0"]}],"mendeley":{"formattedCitation":"(Gonz et al., 2009)","plainTextFormattedCitation":"(Gonz et al., 2009)","previouslyFormattedCitation":"(Gonz et al., 2009)"},"properties":{"noteIndex":0},"schema":"https://github.com/citation-style-language/schema/raw/master/csl-citation.json"}</w:instrText>
      </w:r>
      <w:r w:rsidR="001004D8">
        <w:fldChar w:fldCharType="separate"/>
      </w:r>
      <w:r w:rsidR="001004D8" w:rsidRPr="001004D8">
        <w:rPr>
          <w:noProof/>
        </w:rPr>
        <w:t>(Gonz et al., 2009)</w:t>
      </w:r>
      <w:r w:rsidR="001004D8">
        <w:fldChar w:fldCharType="end"/>
      </w:r>
      <w:r w:rsidR="001004D8">
        <w:t xml:space="preserve">. </w:t>
      </w:r>
      <w:r w:rsidR="00BF5561">
        <w:t xml:space="preserve">Among the biopolymers, </w:t>
      </w:r>
      <w:r w:rsidR="00D5140F">
        <w:t xml:space="preserve">milk </w:t>
      </w:r>
      <w:r w:rsidR="00A3544A">
        <w:t>proteins</w:t>
      </w:r>
      <w:r w:rsidR="00D5140F">
        <w:t xml:space="preserve">, such as casein, are widely used due to their </w:t>
      </w:r>
      <w:r w:rsidR="00A3544A">
        <w:t>biodegradable</w:t>
      </w:r>
      <w:r w:rsidR="00D5140F">
        <w:t xml:space="preserve"> nature</w:t>
      </w:r>
      <w:r w:rsidR="00A3544A">
        <w:t>, availab</w:t>
      </w:r>
      <w:r w:rsidR="00D5140F">
        <w:t>ility</w:t>
      </w:r>
      <w:r w:rsidR="00A3544A">
        <w:t>, low cost</w:t>
      </w:r>
      <w:r w:rsidR="00D5140F">
        <w:t>,</w:t>
      </w:r>
      <w:r w:rsidR="00A3544A">
        <w:t xml:space="preserve"> excellent gas barrie</w:t>
      </w:r>
      <w:r w:rsidR="00D5140F">
        <w:t xml:space="preserve">r, </w:t>
      </w:r>
      <w:r w:rsidR="00A3544A">
        <w:t xml:space="preserve">good mechanical properties respect to other biopolymeric packaging material </w:t>
      </w:r>
      <w:r w:rsidR="00D5140F">
        <w:t xml:space="preserve">and carrier of bioactive compounds </w:t>
      </w:r>
      <w:r w:rsidR="00A3544A">
        <w:fldChar w:fldCharType="begin" w:fldLock="1"/>
      </w:r>
      <w:r w:rsidR="002B4441">
        <w:instrText>ADDIN CSL_CITATION {"citationItems":[{"id":"ITEM-1","itemData":{"DOI":"10.3390/coatings11080899","ISSN":"20796412","abstract":"There is an urgent need to increase the food supplies to fulfil the demands of future generations as the population of the world is expected to grow beyond 10 billion by 2050. An essential component for ensuring global food security is to reduce food losses during the post-harvest stage. Active edible coatings and films are a promising sustainable preservation technology for shelf-life extension of food products by hindering decay kinetics of minimally processed fruits and vegetables (F&amp;V), by restricting the mass transfer of moisture, aroma, or gases and carrying an active compound, such as an antioxidant or antimicrobial. Active protein-based coatings and films have the potential to extend the shelf-life of food products by decreasing their respiration rates, as they exhibit an excellent gas barrier and good mechanical properties as compared to other biopolymeric packaging. Among protein-based biopolymers, casein and its derivatives as packaging films have been extensively studied due to their low cost, complete biodegradability, and availability. Currently, there is no review study focusing on caseinate-based active coating and film, thus, this review aims to give insights on the composition, rheology, structure, and properties of caseinate-based formulations by critically discussing the results presented in the literature. A methodological approach was followed to obtain relevant literature to discuss the influence of additives on the shelf-life of F&amp;V. Furthermore, changes in secondary structure of casein were observed after incorporation of bioactive compounds (i.e., phenolic acids). Likewise, there is a need to explore chemical interactions among bioactive compounds and biopolymer material by using in silico and laboratory trials as food additives have shown to influence the physicochemical properties of film and shelf-life of food products.","author":[{"dropping-particle":"","family":"Khan","given":"Muhammad Rehan","non-dropping-particle":"","parse-names":false,"suffix":""},{"dropping-particle":"","family":"Volpe","given":"Stefania","non-dropping-particle":"","parse-names":false,"suffix":""},{"dropping-particle":"","family":"Valentino","given":"Marika","non-dropping-particle":"","parse-names":false,"suffix":""},{"dropping-particle":"","family":"Miele","given":"Nicoletta Antonella","non-dropping-particle":"","parse-names":false,"suffix":""},{"dropping-particle":"","family":"Cavella","given":"Silvana","non-dropping-particle":"","parse-names":false,"suffix":""},{"dropping-particle":"","family":"Torrieri","given":"Elena","non-dropping-particle":"","parse-names":false,"suffix":""}],"container-title":"Coatings","id":"ITEM-1","issue":"8","issued":{"date-parts":[["2021"]]},"title":"Active casein coatings and films for perishable foods: Structural properties and shelf-life extension","type":"article","volume":"11"},"uris":["http://www.mendeley.com/documents/?uuid=8a9a6f21-b4e7-4ff8-957f-539825e666da"]},{"id":"ITEM-2","itemData":{"DOI":"10.1016/j.jfoodeng.2022.111190","ISSN":"0260-8774","author":[{"dropping-particle":"","family":"Rehan","given":"Muhammad","non-dropping-particle":"","parse-names":false,"suffix":""},{"dropping-particle":"","family":"Volpe","given":"Stefania","non-dropping-particle":"","parse-names":false,"suffix":""},{"dropping-particle":"","family":"Salucci","given":"Emiliano","non-dropping-particle":"","parse-names":false,"suffix":""},{"dropping-particle":"","family":"Bilal","given":"Muhammad","non-dropping-particle":"","parse-names":false,"suffix":""},{"dropping-particle":"","family":"Torrieri","given":"Elena","non-dropping-particle":"","parse-names":false,"suffix":""}],"container-title":"Journal of Food Engineering","id":"ITEM-2","issue":"June","issued":{"date-parts":[["2022"]]},"page":"111190","publisher":"Elsevier Ltd","title":"Active caseinate / guar gum films incorporated with gallic acid : Physicochemical properties and release kinetics","type":"article-journal","volume":"335"},"uris":["http://www.mendeley.com/documents/?uuid=2bdaf6e6-f8b0-497b-accf-0f73524bc7f7"]},{"id":"ITEM-3","itemData":{"DOI":"10.3390/COATINGS10080706","ISSN":"20796412","abstract":"The objective of this work was to investigate the effect of sodium caseinate concentration on physical-chemical properties of coating solutions and films obtained by casting as a starting point for the development of an active coating for minimally processed fruits or vegetables. Sodium caseinate solutions at different concentrations (4%, 8%, 10%, 12%, 14%) were used as a coating system. The coating viscosity and desorption kinetic were characterized. Minimally processed fennels were coated by dipping and the liquid and dry coating thickness were estimated by assessing the amount of coating on fennel during draining as a function of solution properties (concentration and viscosity). Film obtained by casting were also characterized in terms of equilibrium moisture content, color, and water vapor permeability. The potential of using the sodium caseinate solution to obtain active coating was investigated by adding gallic acid or rosemary oil to sodium caseinate solution at 4%. The antioxidant capacity of the coating was evaluated by DPPH test. Results show that sodium caseinate solutions follow a Newtonian behavior in the range of concentration investigated and the viscosity increased as solids concentration increased, following a power law. The drying rate was in the range 0.0063-0.00107 mgH2O•mgsolids-1•min-1•m-2 as a function of sodium caseinate concentration. The average liquid and dry coating thickness on fennels were in the range 20-70 and 0.7-6.4 μm, respectively. The water vapor permeability slightly decreased as the solid concentration increased. Active coating showed good antioxidant properties.","author":[{"dropping-particle":"","family":"Valentino","given":"Marika","non-droppin</w:instrText>
      </w:r>
      <w:r w:rsidR="002B4441" w:rsidRPr="002B4441">
        <w:rPr>
          <w:lang w:val="it-IT"/>
        </w:rPr>
        <w:instrText>g-particle":"","parse-names":false,"suffix":""},{"dropping-particle":"","family":"Volpe","given":"Stefania","non-dropping-particle":"","parse-names":false,"suffix":""},{"dropping-particle":"","family":"Giuseppe","given":"Fabio Angelo","non-dropping-particle":"Di","parse-names":false,"suffix":""},{"dropping-particle":"","family":"Cavella","given":"Silvana","non-dropping-particle":"","parse-names":false,"suffix":""},{"dropping-particle":"","family":"Torrieri","given":"Elena","non-dropping-particle":"","parse-names":false,"suffix":""}],"container-title":"Coatings","id":"ITEM-3","issue":"8","issued":{"date-parts":[["2020"]]},"title":"Active biopolymer coating based on sodium caseinate: Physical characterization and antioxidant activity","type":"article-journal","volume":"10"},"uris":["http://www.mendeley.com/documents/?uuid=470b6fe3-c240-4d6a-9388-7b2b5155320c"]}],"mendeley":{"formattedCitation":"(Khan et al., 2021; Rehan, Volpe, Salucci, Bilal, &amp; Torrieri, 2022; Valentino, Volpe, Di Giuseppe, Cavella, &amp; Torrieri, 2020)","manualFormatting":"(Khan et al., 2021; Rehan, Volpe, Salucci, Bilal, &amp; Torrieri, 2022; Valentino, Volpe)","plainTextFormattedCitation":"(Khan et al., 2021; Rehan, Volpe, Salucci, Bilal, &amp; Torrieri, 2022; Valentino, Volpe, Di Giuseppe, Cavella, &amp; Torrieri, 2020)","previouslyFormattedCitation":"(Khan et al., 2021, 2022; Valentino et al., 2020)"},"properties":{"noteIndex":0},"schema":"https://github.com/citation-style-language/schema/raw/master/csl-citation.json"}</w:instrText>
      </w:r>
      <w:r w:rsidR="00A3544A">
        <w:fldChar w:fldCharType="separate"/>
      </w:r>
      <w:r w:rsidR="005D5B6B" w:rsidRPr="002B4441">
        <w:rPr>
          <w:noProof/>
          <w:lang w:val="it-IT"/>
        </w:rPr>
        <w:t>(Khan et al., 2021; Rehan, Volpe, Salucci, Bilal, &amp; Torrieri, 2022; Valentino, Volpe)</w:t>
      </w:r>
      <w:r w:rsidR="00A3544A">
        <w:fldChar w:fldCharType="end"/>
      </w:r>
      <w:r w:rsidR="00A3544A" w:rsidRPr="002B4441">
        <w:rPr>
          <w:lang w:val="it-IT"/>
        </w:rPr>
        <w:t>.</w:t>
      </w:r>
      <w:r w:rsidR="006D0D06" w:rsidRPr="002B4441">
        <w:rPr>
          <w:lang w:val="it-IT"/>
        </w:rPr>
        <w:t xml:space="preserve"> </w:t>
      </w:r>
      <w:r w:rsidR="006D0D06">
        <w:t>C</w:t>
      </w:r>
      <w:r w:rsidR="00267CCB">
        <w:t xml:space="preserve">asein has been blended with other biopolymers, such as chitosan </w:t>
      </w:r>
      <w:r w:rsidR="00267CCB">
        <w:fldChar w:fldCharType="begin" w:fldLock="1"/>
      </w:r>
      <w:r w:rsidR="005D5B6B">
        <w:instrText>ADDIN CSL_CITATION {"citationItems":[{"id":"ITEM-1","itemData":{"DOI":"10.1016/j.fpsl.2017.07.002","ISSN":"22142894","abstract":"The objective of the work was to investigate how different concentrations of sodium caseinate (SC) and chitosan (CH) affect the structure and physical properties of the obtained blended films. Different concentrations of SC and CH solution were mixed in a proportion of 1:1 (v/v) to obtain 16 different blends. The structure of film forming solutions and films were studied by phase separation behavior, rheological behavior and microstructure characterization. The properties of the films were investigated by the moisture adsorption behavior, water vapor permeability (WVP) and mechanical analysis. Rheological behavior of samples highlighted that chitosan and caseinate electrolyte complexes are function of the biopolymer concentration and ration between CH and SC. Blend film showed improved mechanical properties respect to CH films. The sample with a SC/CH ratio equal to 2 and surface density of 10 mg cm−2 has the</w:instrText>
      </w:r>
      <w:r w:rsidR="005D5B6B" w:rsidRPr="002B4441">
        <w:rPr>
          <w:lang w:val="it-IT"/>
        </w:rPr>
        <w:instrText xml:space="preserve"> greatest elastic modulus, tensile strength and elongation at break values. The hydrophilic nature of films is reduced by increasing biopolymer concentration and ratio between CH and CS even if the barrier proprieties of blend film were not optimized respect to chitosan film.","author":[{"dropping-particle":"","family":"Volpe","given":"S.","non-dropping-particle":"","parse-names":false,"suffix":""},{"dropping-particle":"","family":"Cavella","given":"S.","non-dropping-particle":"","parse-names":false,"suffix":""},{"dropping-particle":"","family":"Masi","given":"P.","non-dropping-particle":"","parse-names":false,"suffix":""},{"dropping-particle":"","family":"Torrieri","given":"E.","non-dropping-particle":"","parse-names":false,"suffix":""}],"container-title":"Food Packaging and Shelf Life","id":"ITEM-1","issue":"March","issued":{"date-parts":[["2017"]]},"page":"76-84","publisher":"Elsevier","title":"Effect of solid concentration on structure and properties of chitosan-caseinate blend films","type":"article-journal","volume":"13"},"uris":["http://www.mendeley.com/documents/?uuid=ded9f472-d38f-4078-88b9-af33d9388281"]}],"mendeley":{"formattedCitation":"(Volpe, Cavella, Masi, &amp; Torrieri, 2017)","manualFormatting":"(Volpe et al., 2017)","plainTextFormattedCitation":"(Volpe, Cavella, Masi, &amp; Torrieri, 2017)","previouslyFormattedCitation":"(S. Volpe et al., 2017)"},"properties":{"noteIndex":0},"schema":"https://github.com/citation-style-language/schema/raw/master/csl-citation.json"}</w:instrText>
      </w:r>
      <w:r w:rsidR="00267CCB">
        <w:fldChar w:fldCharType="separate"/>
      </w:r>
      <w:r w:rsidR="00267CCB" w:rsidRPr="002B4441">
        <w:rPr>
          <w:noProof/>
        </w:rPr>
        <w:t>(Volpe et al., 2017)</w:t>
      </w:r>
      <w:r w:rsidR="00267CCB">
        <w:fldChar w:fldCharType="end"/>
      </w:r>
      <w:r w:rsidR="00267CCB" w:rsidRPr="002B4441">
        <w:t xml:space="preserve">, </w:t>
      </w:r>
      <w:r w:rsidR="003979E2" w:rsidRPr="002B4441">
        <w:t xml:space="preserve">beeswax and guar gum </w:t>
      </w:r>
      <w:r w:rsidR="003979E2">
        <w:fldChar w:fldCharType="begin" w:fldLock="1"/>
      </w:r>
      <w:r w:rsidR="005D5B6B" w:rsidRPr="002B4441">
        <w:instrText>ADDIN CSL_CITATION {"citationItems":[{"id":"ITEM-1","itemData":{"DOI":"10.1016/j.jfoodeng.2022.111123","ISSN":"0260-8774","author":[{"dropping-particle":"","family":"Miele","given":"Nicoletta Antonella","non-dropping-particle":"","parse-names":false,"suffix":""},{"dropping-particle":"","family":"Volpe","given":"Stefania","non-dropping-particle":"","parse-names":false,"suffix":""},{"dropping-particle":"","family":"Torrieri","given":"Elena","non-dropping-particle":"","parse-names":false,"suffix":""},{"dropping-particle":"","family":"Cavella","given":"Silvana","non-dropping-particle":"","parse-names":false,"suffix":""}],"container-title":"Journal of Food Engineering","id":"ITEM-1","issue":"May","issued":{"date-parts":[["2022"]]},"page":"111123","publisher":"Elsevier Ltd","title":"Improving physical properties of sodium caseinate based coating with the optimal formulation : Effect on strawberries ’ respiration and transpiration rates","type":"article-journal","volume":"331"},"uris":["http://www.mendeley.com/documents/?uuid=c9bd0626-14b0-4bb6-bf0d-cd4a38c35195"]}],"mendeley":{"formattedCitation":"(Miele, Volpe, Torrieri, &amp; Cavella, 2022)","plainTextFormattedCitation":"(Miele, Volpe, Torrieri, &amp; Cavella, 2022)","previouslyFormattedCitation":"(Miele et al., 2022)"},"properties":{"noteIndex":0},"schema":"https://github.com/citation-style-language/schema/raw/master/csl-citation.json"}</w:instrText>
      </w:r>
      <w:r w:rsidR="003979E2">
        <w:fldChar w:fldCharType="separate"/>
      </w:r>
      <w:r w:rsidR="005D5B6B" w:rsidRPr="002B4441">
        <w:rPr>
          <w:noProof/>
        </w:rPr>
        <w:t>(Miele, Volpe, Torrieri, &amp; Cavella, 2022)</w:t>
      </w:r>
      <w:r w:rsidR="003979E2">
        <w:fldChar w:fldCharType="end"/>
      </w:r>
      <w:r w:rsidR="003979E2" w:rsidRPr="002B4441">
        <w:t xml:space="preserve"> </w:t>
      </w:r>
      <w:r w:rsidR="006D0D06" w:rsidRPr="002B4441">
        <w:t>and applied o</w:t>
      </w:r>
      <w:r w:rsidR="006D0D06">
        <w:t xml:space="preserve">n minimally processed </w:t>
      </w:r>
      <w:r w:rsidR="003979E2">
        <w:t>fruit</w:t>
      </w:r>
      <w:r w:rsidR="006D0D06">
        <w:t xml:space="preserve"> to prolong the shelf life </w:t>
      </w:r>
      <w:r w:rsidR="006D0D06">
        <w:fldChar w:fldCharType="begin" w:fldLock="1"/>
      </w:r>
      <w:r w:rsidR="005D5B6B">
        <w:instrText>ADDIN CSL_CITATION {"citationItems":[{"id":"ITEM-1","itemData":{"author":[{"dropping-particle":"","family":"Volpe","given":"S","non-dropping-particle":"","parse-names":false,"suffix":""},{"dropping-particle":"","family":"Cavella","given":"S","non-dropping-particle":"","parse-names":false,"suffix":""},{"dropping-particle":"","family":"Torrieri","given":"E","non-dropping-particle":"","parse-names":false,"suffix":""}],"id":"ITEM-1","issued":{"date-parts":[["2017"]]},"page":"2017","title":"EFFECT OF CHITOSAN-CASEINATE COATING ON THE SHELF LIFE OF MINIMALLY PROCESSED APPLES INTRODUCTION Acknowledgments prin","type":"article-journal"},"uris":["http://www.mendeley.com/documents/?uuid=5d929789-a83d-43dd-bab5-d1eebd50198f","http://www.mendeley.com/documents/?uuid=2530a8db-5597-4b0c-8bcb-1e55b309f317"]}],"mendeley":{"formattedCitation":"(Volpe, Cavella, &amp; Torrieri, 2017)","manualFormatting":"(Volpe et al., 2018)","plainTextFormattedCitation":"(Volpe, Cavella, &amp; Torrieri, 2017)","previouslyFormattedCitation":"(S Volpe et al., 2017)"},"properties":{"noteIndex":0},"schema":"https://github.com/citation-style-language/schema/raw/master/csl-citation.json"}</w:instrText>
      </w:r>
      <w:r w:rsidR="006D0D06">
        <w:fldChar w:fldCharType="separate"/>
      </w:r>
      <w:r w:rsidR="006D0D06" w:rsidRPr="006D0D06">
        <w:rPr>
          <w:noProof/>
        </w:rPr>
        <w:t>(Volpe et al., 201</w:t>
      </w:r>
      <w:r w:rsidR="005D5B6B">
        <w:rPr>
          <w:noProof/>
        </w:rPr>
        <w:t>8</w:t>
      </w:r>
      <w:r w:rsidR="006D0D06" w:rsidRPr="006D0D06">
        <w:rPr>
          <w:noProof/>
        </w:rPr>
        <w:t>)</w:t>
      </w:r>
      <w:r w:rsidR="006D0D06">
        <w:fldChar w:fldCharType="end"/>
      </w:r>
      <w:r w:rsidR="003979E2">
        <w:t xml:space="preserve">. </w:t>
      </w:r>
      <w:r w:rsidR="009943A2">
        <w:t>Another important critical aspect that affect the  is</w:t>
      </w:r>
      <w:r w:rsidR="0083715A">
        <w:t xml:space="preserve"> </w:t>
      </w:r>
      <w:r w:rsidR="00167B80">
        <w:t xml:space="preserve">the deterioration of the tomato, which may also be caused by microbial activity that usually increases during fruit storage </w:t>
      </w:r>
      <w:r w:rsidR="00167B80">
        <w:fldChar w:fldCharType="begin" w:fldLock="1"/>
      </w:r>
      <w:r w:rsidR="005D5B6B">
        <w:instrText>ADDIN CSL_CITATION {"citationItems":[{"id":"ITEM-1","itemData":{"DOI":"10.3934/agrfood.2019.2.340","author":[{"dropping-particle":"","family":"Islam","given":"Mohammad Zahirul","non-dropping-particle":"","parse-names":false,"suffix":""},{"dropping-particle":"","family":"Lee","given":"Young-tack","non-dropping-particle":"","parse-names":false,"suffix":""},{"dropping-particle":"","family":"Mele","given":"Mahmuda Akter","non-dropping-particle":"","parse-names":false,"suffix":""},{"dropping-particle":"","family":"Choi","given":"In-lee","non-dropping-particle":"","parse-names":false,"suffix":""}],"id":"ITEM-1","issue":"April","issued":{"date-parts":[["2019"]]},"page":"340-348","title":"Effect of fruit size on fruit quality , shelf life and microbial activity in cherry tomatoes","type":"article-journal","volume":"4"},"uris":["http://www.mendeley.com/documents/?uuid=3eb849ed-c334-4221-acdf-800a347dbc08","http://www.mendeley.com/documents/?uuid=a2008c7e-6751-4eaf-bbfa-1503cd72928f"]}],"mendeley":{"formattedCitation":"(Islam, Lee, Mele, &amp; Choi, 2019)","plainTextFormattedCitation":"(Islam, Lee, Mele, &amp; Choi, 2019)","previouslyFormattedCitation":"(Islam et al., 2019)"},"properties":{"noteIndex":0},"schema":"https://github.com/citation-style-language/schema/raw/master/csl-citation.json"}</w:instrText>
      </w:r>
      <w:r w:rsidR="00167B80">
        <w:fldChar w:fldCharType="separate"/>
      </w:r>
      <w:r w:rsidR="005D5B6B" w:rsidRPr="005D5B6B">
        <w:rPr>
          <w:noProof/>
        </w:rPr>
        <w:t>(Islam, Lee, Mele, &amp; Choi, 2019)</w:t>
      </w:r>
      <w:r w:rsidR="00167B80">
        <w:fldChar w:fldCharType="end"/>
      </w:r>
      <w:r w:rsidR="00167B80">
        <w:t xml:space="preserve">. Among the mild technologies, plasma activated water </w:t>
      </w:r>
      <w:r w:rsidR="00167B80">
        <w:lastRenderedPageBreak/>
        <w:t xml:space="preserve">(PAW) represents a good  and eco-friendly alternative to washing fruits and vegetables, respect to the traditional chlorinated solutions </w:t>
      </w:r>
      <w:r w:rsidR="00267524">
        <w:fldChar w:fldCharType="begin" w:fldLock="1"/>
      </w:r>
      <w:r w:rsidR="005D5B6B">
        <w:instrText>ADDIN CSL_CITATION {"citationItems":[{"id":"ITEM-1","itemData":{"DOI":"10.1111/1541-4337.12644","ISSN":"15414337","PMID":"33337045","abstract":"Novel nonthermal inactivation technologies have been increasingly popular over the traditional thermal food processing methods due to their capacity in maintaining microbial safety and other quality parameters. Plasma-activated water (PAW) is a cutting-edge technology developed around a decade ago, and it has attracted considerable attention as a potential washing disinfectant. This review aims to offer an overview of the fundamentals and potential applications of PAW in the agri-food sector. A detailed description of the interactions between plasma and water can help to have a better understanding of PAW, hence the physicochemical properties of PAW are discussed. Further, this review elucidates the complex inactivation mechanisms of PAW, including oxidative stress and physical effect. In particular, the influencing factors on inactivation efficacy of PAW, including processing factors, characteristics of microorganisms, and background environment of water are extensively described. Finally, the potential applications of PAW in the food industry, such as surface decontamination for various food products, including fruits and vegetables, meat and seafood, and also the treatment on quality parameters are presented. Apart from decontamination, the applications of PAW for seed germination and plant growth, as well as meat curing are also summarized. In the end, the challenges and limitations of PAW for scale-up implementation, and future research efforts are also discussed. This review demonstrates that PAW has the potential to be successfully used in the food industry.","author":[{"dropping-particle":"","family":"Zhao","given":"Yi Ming","non-dropping-particle":"","parse-names":false,"suffix":""},{"dropping-particle":"","family":"Patange","given":"Apurva","non-dropping-particle":"","parse-names":false,"suffix":""},{"dropping-particle":"","family":"Sun","given":"Da Wen","non-dropping-particle":"","parse-names":false,"suffix":""},{"dropping-particle":"","family":"Tiwari","given":"Brijesh","non-dropping-particle":"","parse-names":false,"suffix":""}],"container-title":"Comprehensive Reviews in Food Science and Food Safety","id":"ITEM-1","issue":"6","issued":{"date-parts":[["2020"]]},"page":"3951-3979","title":"Plasma-activated water: Physicochemical properties, microbial inactivation mechanisms, factors influencing antimicrobial effectiveness, and applications in the food industry","type":"article-journal","volume":"19"},"uris":["http://www.mendeley.com/documents/?uuid=99d9f61d-4630-4fba-84b4-18398e60906b","http://www.mendeley.com/documents/?uuid=16f3c3f9-ca0f-4bcf-8d3d-d296e142cc06"]}],"mendeley":{"formattedCitation":"(Zhao, Patange, Sun, &amp; Tiwari, 2020)","plainTextFormattedCitation":"(Zhao, Patange, Sun, &amp; Tiwari, 2020)","previouslyFormattedCitation":"(Zhao et al., 2020)"},"properties":{"noteIndex":0},"schema":"https://github.com/citation-style-language/schema/raw/master/csl-citation.json"}</w:instrText>
      </w:r>
      <w:r w:rsidR="00267524">
        <w:fldChar w:fldCharType="separate"/>
      </w:r>
      <w:r w:rsidR="005D5B6B" w:rsidRPr="005D5B6B">
        <w:rPr>
          <w:noProof/>
        </w:rPr>
        <w:t>(Zhao, Patange, Sun, &amp; Tiwari, 2020)</w:t>
      </w:r>
      <w:r w:rsidR="00267524">
        <w:fldChar w:fldCharType="end"/>
      </w:r>
      <w:r w:rsidR="00167B80">
        <w:t xml:space="preserve">, since any levels of residual chemicals are kept </w:t>
      </w:r>
      <w:r w:rsidR="00267524">
        <w:fldChar w:fldCharType="begin" w:fldLock="1"/>
      </w:r>
      <w:r w:rsidR="005D5B6B">
        <w:instrText>ADDIN CSL_CITATION {"citationItems":[{"id":"ITEM-1","itemData":{"DOI":"10.1016/j.ifset.2021.102805","ISSN":"14668564","abstract":"Plasma Activated Water (PAW) obtained by exposing water to cold atmospheric pressure plasma, has recently emerged as a promising alternative for food decontamination, compared to the use of traditional chemical sanitizers. The aim of the study was to evaluate the efficacy of PAW treatments for rocket salad decontamination. Washing with PAW for 2, 5, 10 and 20 min was assessed against different endogenous spoilage microorganisms and compared to untreated water and hypochlorite solution. The chemical composition of PAW as a function of treatment and delay time was characterized and the effect on product quality and nutritional parameters was evaluated. Results showed that PAW allowed an average reduction of 1.7–3 Log CFU/g for total mesophilic and psychrotrophic bacteria and Enterobacteriaceae following 2–5 min washing with minimal variation of qualitative and nutritional parameters. Overall, experimental results highlighted the potentiality of PAW treatments as a promising alternative to chlorine having the advantage of a minor adverse impact on environment and consumers' health. Industrial relevance: To meet consumers demand, the minimally processed fruit and vegetable industry needs to find sustainable solutions as alternative to the use of traditional chemical sanitizers that allow to increase product shelf-life and preserve safety, qualitative and nutritional characteristics. Plasma activated water represents a promising strategy for food decontamination, but its effects on foods have been only limitedly investigated. The present research is the first study on the use of plasma activated water on fresh rocket leaves, providing new and important information on microbial inactivation and quality of the fresh cut product.","author":[{"dropping-particle":"","family":"Laurita","given":"Romolo","non-dropping-particle":"","parse-names":false,"suffix":""},{"dropping-particle":"","family":"Gozzi","given":"Giorgia","non-dropping-particle":"","parse-names":false,"suffix":""},{"dropping-particle":"","family":"Tappi","given":"Silvia","non-dropping-particle":"","parse-names":false,"suffix":""},{"dropping-particle":"","family":"Capelli","given":"Filippo","non-dropping-particle":"","parse-names":false,"suffix":""},{"dropping-particle":"","family":"Bisag","given":"Alina","non-dropping-particle":"","parse-names":false,"suffix":""},{"dropping-particle":"","family":"Laghi","given":"Giulia","non-dropping-particle":"","parse-names":false,"suffix":""},{"dropping-particle":"","family":"Gherardi","given":"Matteo","non-dropping-particle":"","parse-names":false,"suffix":""},{"dropping-particle":"","family":"Cellini","given":"Beatrice","non-dropping-particle":"","parse-names":false,"suffix":""},{"dropping-particle":"","family":"Abouelenein","given":"Doaa","non-dropping-particle":"","parse-names":false,"suffix":""},{"dropping-particle":"","family":"Vittori","given":"Sauro","non-dropping-particle":"","parse-names":false,"suffix":""},{"dropping-particle":"","family":"Colombo","given":"Vittorio","non-dropping-particle":"","parse-names":false,"suffix":""},{"dropping-particle":"","family":"Rocculi","given":"Pietro","non-dropping-particle":"","parse-names":false,"suffix":""},{"dropping-particle":"","family":"Dalla Rosa","given":"Marco","non-dropping-particle":"","parse-names":false,"suffix":""},{"dropping-particle":"","family":"Vannini","given":"Lucia","non-dropping-particle":"","parse-names":false,"suffix":""}],"container-title":"Innovative Food Science and Emerging Technologies","id":"ITEM-1","issue":"April","issued":{"date-parts":[["2021"]]},"page":"102805","publisher":"Elsevier Ltd","title":"Effect of plasma activated water (PAW) on rocket leaves decontamination and nutritional value","type":"article-journal","volume":"73"},"uris":["http://www.mendeley.com/documents/?uuid=7bcf9c4f-f7ad-495c-8fdb-1668f9c63fa0"]}],"mendeley":{"formattedCitation":"(Laurita et al., 2021)","plainTextFormattedCitation":"(Laurita et al., 2021)","previouslyFormattedCitation":"(Laurita et al., 2021)"},"properties":{"noteIndex":0},"schema":"https://github.com/citation-style-language/schema/raw/master/csl-citation.json"}</w:instrText>
      </w:r>
      <w:r w:rsidR="00267524">
        <w:fldChar w:fldCharType="separate"/>
      </w:r>
      <w:r w:rsidR="00267524" w:rsidRPr="00267524">
        <w:rPr>
          <w:noProof/>
        </w:rPr>
        <w:t>(Laurita et al., 2021)</w:t>
      </w:r>
      <w:r w:rsidR="00267524">
        <w:fldChar w:fldCharType="end"/>
      </w:r>
      <w:r w:rsidR="00167B80">
        <w:t>.</w:t>
      </w:r>
      <w:r w:rsidR="00267524">
        <w:t xml:space="preserve"> The objective of the work was to preserve the quality of minimally processed</w:t>
      </w:r>
      <w:r w:rsidR="00D556C3">
        <w:t xml:space="preserve"> (MP) </w:t>
      </w:r>
      <w:r w:rsidR="00267524">
        <w:t xml:space="preserve">cherry tomatoes during storage by using a combination </w:t>
      </w:r>
      <w:r w:rsidR="005E4F39">
        <w:t>of a washing sanitization treatment with PAW</w:t>
      </w:r>
      <w:r w:rsidR="00267524">
        <w:t xml:space="preserve"> and preservation with sodium caseinate</w:t>
      </w:r>
      <w:r w:rsidR="005E4F39">
        <w:t xml:space="preserve"> based edible</w:t>
      </w:r>
      <w:r w:rsidR="00267524">
        <w:t xml:space="preserve"> coating. </w:t>
      </w:r>
      <w:r w:rsidR="005E4F39">
        <w:t>In particular, the study was divided in two parts. In the first part, the aim was</w:t>
      </w:r>
      <w:r w:rsidR="00267524">
        <w:t xml:space="preserve"> to optimize the sodium caseinate coating formulation </w:t>
      </w:r>
      <w:r w:rsidR="005E4F39">
        <w:t>to</w:t>
      </w:r>
      <w:r w:rsidR="00267524">
        <w:t xml:space="preserve"> reduc</w:t>
      </w:r>
      <w:r w:rsidR="005E4F39">
        <w:t>e</w:t>
      </w:r>
      <w:r w:rsidR="00267524">
        <w:t xml:space="preserve"> the respiration rate of the </w:t>
      </w:r>
      <w:r w:rsidR="00D556C3">
        <w:t xml:space="preserve">MP </w:t>
      </w:r>
      <w:r w:rsidR="005E4F39">
        <w:t>cherry tomato. The second part aimed to</w:t>
      </w:r>
      <w:r w:rsidR="00267524">
        <w:t xml:space="preserve"> assess the impact of the combination of </w:t>
      </w:r>
      <w:r w:rsidR="00B5559D">
        <w:t>PAW</w:t>
      </w:r>
      <w:r w:rsidR="00267524">
        <w:t xml:space="preserve"> and </w:t>
      </w:r>
      <w:r w:rsidR="005E4F39">
        <w:t xml:space="preserve">the optimized sodium caseinate edible </w:t>
      </w:r>
      <w:r w:rsidR="00267524">
        <w:t>coating on the quality of the product during shelf life.</w:t>
      </w:r>
    </w:p>
    <w:p w14:paraId="62919AF2" w14:textId="2DD964F5" w:rsidR="0005643F" w:rsidRDefault="0005643F" w:rsidP="0005643F">
      <w:pPr>
        <w:pStyle w:val="CETHeading1"/>
      </w:pPr>
      <w:r>
        <w:t>Materials and metho</w:t>
      </w:r>
      <w:r w:rsidR="00AD2442">
        <w:t>ds</w:t>
      </w:r>
    </w:p>
    <w:p w14:paraId="33C487C0" w14:textId="5F58D7EA" w:rsidR="00AD2442" w:rsidRDefault="00375F9D" w:rsidP="003A006A">
      <w:pPr>
        <w:pStyle w:val="CETheadingx"/>
      </w:pPr>
      <w:r>
        <w:t xml:space="preserve"> </w:t>
      </w:r>
      <w:r w:rsidR="00AD2442">
        <w:t>Materials</w:t>
      </w:r>
    </w:p>
    <w:p w14:paraId="070B3AFE" w14:textId="0A4A245A" w:rsidR="00AD2442" w:rsidRDefault="002731C9" w:rsidP="00AD2442">
      <w:pPr>
        <w:pStyle w:val="CETBodytext"/>
      </w:pPr>
      <w:r>
        <w:t xml:space="preserve">Cherry tomatoes (Solanum </w:t>
      </w:r>
      <w:proofErr w:type="spellStart"/>
      <w:r>
        <w:t>lycopersicum</w:t>
      </w:r>
      <w:proofErr w:type="spellEnd"/>
      <w:r>
        <w:t xml:space="preserve"> var. cerasiforme) were bought at a local supermarket and brought to the laboratory </w:t>
      </w:r>
      <w:r w:rsidR="001450F3">
        <w:t>within 1 h of the experiment</w:t>
      </w:r>
      <w:r>
        <w:t xml:space="preserve">. </w:t>
      </w:r>
      <w:r w:rsidR="001450F3">
        <w:t xml:space="preserve">Sodium caseinate (SC), </w:t>
      </w:r>
      <w:r w:rsidR="00855AAD">
        <w:t xml:space="preserve">chitosan </w:t>
      </w:r>
      <w:r w:rsidR="00347B72">
        <w:t>(</w:t>
      </w:r>
      <w:r w:rsidR="00855AAD">
        <w:t>Medium molecula</w:t>
      </w:r>
      <w:r w:rsidR="00347B72">
        <w:t>r</w:t>
      </w:r>
      <w:r w:rsidR="00855AAD">
        <w:t xml:space="preserve"> weight deacetylation degree, 75–85%)</w:t>
      </w:r>
      <w:r w:rsidR="00347B72">
        <w:t xml:space="preserve"> (CH)</w:t>
      </w:r>
      <w:r w:rsidR="00855AAD">
        <w:t xml:space="preserve">, </w:t>
      </w:r>
      <w:r w:rsidR="00347B72">
        <w:t>glycerol (</w:t>
      </w:r>
      <w:proofErr w:type="spellStart"/>
      <w:r w:rsidR="00347B72">
        <w:t>Gly</w:t>
      </w:r>
      <w:proofErr w:type="spellEnd"/>
      <w:r w:rsidR="00347B72">
        <w:t>), guar gum (GG)</w:t>
      </w:r>
      <w:r w:rsidR="00820FAA">
        <w:t>, tween 80 (T</w:t>
      </w:r>
      <w:r w:rsidR="00BB126A">
        <w:t>80) and span 80 (S80)</w:t>
      </w:r>
      <w:r w:rsidR="00347B72">
        <w:t xml:space="preserve"> were pur</w:t>
      </w:r>
      <w:r w:rsidR="006F0A7F">
        <w:t>chased from Sigma-Aldrich</w:t>
      </w:r>
      <w:r w:rsidR="003743BF">
        <w:t xml:space="preserve"> &amp;</w:t>
      </w:r>
      <w:r w:rsidR="00F823E7">
        <w:t xml:space="preserve"> </w:t>
      </w:r>
      <w:r w:rsidR="003743BF">
        <w:t>C</w:t>
      </w:r>
      <w:r w:rsidR="00F823E7">
        <w:t>o.</w:t>
      </w:r>
      <w:r w:rsidR="006F0A7F">
        <w:t xml:space="preserve"> (Milan, Italy). </w:t>
      </w:r>
      <w:r w:rsidR="00F823E7">
        <w:t>Beeswax</w:t>
      </w:r>
      <w:r w:rsidR="00004BE5">
        <w:t xml:space="preserve"> (BW)</w:t>
      </w:r>
      <w:r w:rsidR="00F823E7">
        <w:t xml:space="preserve"> was purchased from Agraria </w:t>
      </w:r>
      <w:proofErr w:type="spellStart"/>
      <w:r w:rsidR="00F823E7">
        <w:t>Ughetto</w:t>
      </w:r>
      <w:proofErr w:type="spellEnd"/>
      <w:r w:rsidR="00F823E7">
        <w:t xml:space="preserve"> </w:t>
      </w:r>
      <w:proofErr w:type="spellStart"/>
      <w:r w:rsidR="00F823E7">
        <w:t>Apicoltura</w:t>
      </w:r>
      <w:proofErr w:type="spellEnd"/>
      <w:r w:rsidR="00F823E7">
        <w:t xml:space="preserve"> (</w:t>
      </w:r>
      <w:proofErr w:type="spellStart"/>
      <w:r w:rsidR="00F823E7">
        <w:t>Giaveno</w:t>
      </w:r>
      <w:proofErr w:type="spellEnd"/>
      <w:r w:rsidR="00F823E7">
        <w:t>, Torino, Italy).</w:t>
      </w:r>
    </w:p>
    <w:p w14:paraId="2D044513" w14:textId="76095946" w:rsidR="00F823E7" w:rsidRDefault="00583FEC" w:rsidP="003A006A">
      <w:pPr>
        <w:pStyle w:val="CETheadingx"/>
      </w:pPr>
      <w:r>
        <w:t>Coating</w:t>
      </w:r>
      <w:r w:rsidR="00E35295">
        <w:t xml:space="preserve"> </w:t>
      </w:r>
      <w:r w:rsidR="00EF5DFB">
        <w:t>preparation</w:t>
      </w:r>
    </w:p>
    <w:p w14:paraId="277EFE72" w14:textId="53B1407B" w:rsidR="002D1374" w:rsidRDefault="00790A7C" w:rsidP="002D1374">
      <w:pPr>
        <w:pStyle w:val="CETBodytext"/>
      </w:pPr>
      <w:r>
        <w:t xml:space="preserve">SC solutions with protein concentrations of 4% </w:t>
      </w:r>
      <w:r w:rsidR="00EB247C">
        <w:t xml:space="preserve">(w/v) </w:t>
      </w:r>
      <w:r>
        <w:t xml:space="preserve">and </w:t>
      </w:r>
      <w:r w:rsidR="00C2410F">
        <w:t xml:space="preserve">CH solution with a concentration of 2% </w:t>
      </w:r>
      <w:r w:rsidR="00EB247C">
        <w:t xml:space="preserve">(w/v) </w:t>
      </w:r>
      <w:r w:rsidR="00C2410F">
        <w:t xml:space="preserve">were prepared and blended </w:t>
      </w:r>
      <w:r w:rsidR="00847134">
        <w:t xml:space="preserve">in proportion of 1:1 as reported by </w:t>
      </w:r>
      <w:r w:rsidR="00847134">
        <w:fldChar w:fldCharType="begin" w:fldLock="1"/>
      </w:r>
      <w:r w:rsidR="005D5B6B">
        <w:instrText>ADDIN CSL_CITATION {"citationItems":[{"id":"ITEM-1","itemData":{"DOI":"10.1016/j.fpsl.2017.07.002","ISSN":"22142894","abstract":"The objective of the work was to investigate how different concentrations of sodium caseinate (SC) and chitosan (CH) affect the structure and physical properties of the obtained blended films. Different concentrations of SC and CH solution were mixed in a proportion of 1:1 (v/v) to obtain 16 different blends. The structure of film forming solutions and films were studied by phase separation behavior, rheological behavior and microstructure characterization. The properties of the films were investigated by the moisture adsorption behavior, water vapor permeability (WVP) and mechanical analysis. Rheological behavior of samples highlighted that chitosan and caseinate electrolyte complexes are function of the biopolymer concentration and ration between CH and SC. Blend film showed improved mechanical properties respect to CH films. The sample with a SC/CH ratio equal to 2 and surface density of 10 mg cm−2 has the greatest elastic modulus, tensile strength and elongation at break values. The hydrophilic nature of films is reduced by increasing biopolymer concentration and ratio between CH and CS even if the barrier proprieties of blend film were not optimized respect to chitosan film.","author":[{"dropping-particle":"","family":"Volpe","given":"S.","non-dropping-particle":"","parse-names":false,"suffix":""},{"dropping-particle":"","family":"Cavella","given":"S.","non-dropping-particle":"","parse-names":false,"suffix":""},{"dropping-particle":"","family":"Masi","given":"P.","non-dropping-particle":"","parse-names":false,"suffix":""},{"dropping-particle":"","family":"Torrieri","given":"E.","non-dropping-particle":"","parse-names":false,"suffix":""}],"container-title":"Food Packaging and Shelf Life","id":"ITEM-1","issue":"March","issued":{"date-parts":[["2017"]]},"page":"76-84","publisher":"Elsevier","title":"Effect of solid concentration on structure and properties of chitosan-caseinate blend films","type":"article-journal","volume":"13"},"uris":["http://www.mendeley.com/documents/?uuid=ded9f472-d38f-4078-88b9-af33d9388281"]}],"mendeley":{"formattedCitation":"(Volpe, Cavella, Masi, et al., 2017)","plainTextFormattedCitation":"(Volpe, Cavella, Masi, et al., 2017)","previouslyFormattedCitation":"(S. Volpe et al., 2017)"},"properties":{"noteIndex":0},"schema":"https://github.com/citation-style-language/schema/raw/master/csl-citation.json"}</w:instrText>
      </w:r>
      <w:r w:rsidR="00847134">
        <w:fldChar w:fldCharType="separate"/>
      </w:r>
      <w:r w:rsidR="005D5B6B" w:rsidRPr="005D5B6B">
        <w:rPr>
          <w:noProof/>
        </w:rPr>
        <w:t>(Volpe, Cavella, Masi, et al., 2017)</w:t>
      </w:r>
      <w:r w:rsidR="00847134">
        <w:fldChar w:fldCharType="end"/>
      </w:r>
      <w:r w:rsidR="000004E8">
        <w:t xml:space="preserve"> to obtain SC/CH </w:t>
      </w:r>
      <w:r w:rsidR="005E228E">
        <w:t>film forming solution (FFS)</w:t>
      </w:r>
      <w:r w:rsidR="00847134">
        <w:t xml:space="preserve">. </w:t>
      </w:r>
      <w:proofErr w:type="spellStart"/>
      <w:r w:rsidR="00847134">
        <w:t>Gly</w:t>
      </w:r>
      <w:proofErr w:type="spellEnd"/>
      <w:r w:rsidR="00847134">
        <w:t xml:space="preserve"> was </w:t>
      </w:r>
      <w:r w:rsidR="00F0135A">
        <w:t>added to the blend t</w:t>
      </w:r>
      <w:r w:rsidR="00471405">
        <w:t xml:space="preserve">o achieve a </w:t>
      </w:r>
      <w:proofErr w:type="spellStart"/>
      <w:r w:rsidR="00471405">
        <w:t>Gly</w:t>
      </w:r>
      <w:proofErr w:type="spellEnd"/>
      <w:r w:rsidR="00471405">
        <w:t>/solid</w:t>
      </w:r>
      <w:r w:rsidR="005A1F50">
        <w:t xml:space="preserve"> content</w:t>
      </w:r>
      <w:r w:rsidR="00471405">
        <w:t xml:space="preserve"> ratio of 0.1.</w:t>
      </w:r>
      <w:r w:rsidR="000C62DB">
        <w:t xml:space="preserve"> </w:t>
      </w:r>
      <w:r w:rsidR="00667E24">
        <w:t>To prepare a SC</w:t>
      </w:r>
      <w:r w:rsidR="00F15819">
        <w:t xml:space="preserve">/GG blend, previously </w:t>
      </w:r>
      <w:r w:rsidR="00C71155">
        <w:t xml:space="preserve">8% of </w:t>
      </w:r>
      <w:r w:rsidR="00FE5346">
        <w:t>SC</w:t>
      </w:r>
      <w:r w:rsidR="00F15819">
        <w:t xml:space="preserve"> </w:t>
      </w:r>
      <w:r w:rsidR="00EB247C">
        <w:t xml:space="preserve">(w/v) </w:t>
      </w:r>
      <w:r w:rsidR="00F15819">
        <w:t>were dissolved in distilled water</w:t>
      </w:r>
      <w:r w:rsidR="00CB643E">
        <w:t xml:space="preserve"> for </w:t>
      </w:r>
      <w:r w:rsidR="006B0333">
        <w:t>1,5 h under stirring at 70</w:t>
      </w:r>
      <w:r w:rsidR="00D1692A">
        <w:rPr>
          <w:rFonts w:cs="Arial"/>
        </w:rPr>
        <w:t>±</w:t>
      </w:r>
      <w:r w:rsidR="00E82CDD">
        <w:rPr>
          <w:rFonts w:cs="Arial"/>
        </w:rPr>
        <w:t>2</w:t>
      </w:r>
      <w:r w:rsidR="006B0333">
        <w:t>°C</w:t>
      </w:r>
      <w:r w:rsidR="00D1692A">
        <w:t>; then GG was added in concentration of</w:t>
      </w:r>
      <w:r w:rsidR="005A1F50">
        <w:t xml:space="preserve"> 0.2%</w:t>
      </w:r>
      <w:r w:rsidR="001078E4">
        <w:t xml:space="preserve"> (SC/0.2GG</w:t>
      </w:r>
      <w:proofErr w:type="gramStart"/>
      <w:r w:rsidR="001078E4">
        <w:t xml:space="preserve">) </w:t>
      </w:r>
      <w:r w:rsidR="00C17F66">
        <w:t>,</w:t>
      </w:r>
      <w:proofErr w:type="gramEnd"/>
      <w:r w:rsidR="00C17F66">
        <w:t xml:space="preserve"> 0.3%</w:t>
      </w:r>
      <w:r w:rsidR="001078E4">
        <w:t xml:space="preserve"> (SC/0.3</w:t>
      </w:r>
      <w:r w:rsidR="002D6E1E">
        <w:t>GG)</w:t>
      </w:r>
      <w:r w:rsidR="00C17F66">
        <w:t xml:space="preserve"> and 0.4%</w:t>
      </w:r>
      <w:r w:rsidR="002D6E1E">
        <w:t xml:space="preserve"> (SC/0.4GG)</w:t>
      </w:r>
      <w:r w:rsidR="005A1F50">
        <w:t xml:space="preserve"> </w:t>
      </w:r>
      <w:r w:rsidR="00904105">
        <w:t>until obtained an homogeneous mixture.</w:t>
      </w:r>
      <w:r w:rsidR="005A1F50">
        <w:t xml:space="preserve"> </w:t>
      </w:r>
      <w:r w:rsidR="00904105">
        <w:t xml:space="preserve">Then </w:t>
      </w:r>
      <w:r w:rsidR="00EB0B0D">
        <w:t>the blends were cooled down</w:t>
      </w:r>
      <w:r w:rsidR="00BC3BAE">
        <w:t xml:space="preserve"> at room temperature. </w:t>
      </w:r>
      <w:proofErr w:type="spellStart"/>
      <w:r w:rsidR="005A1F50">
        <w:t>Gly</w:t>
      </w:r>
      <w:proofErr w:type="spellEnd"/>
      <w:r w:rsidR="005A1F50">
        <w:t xml:space="preserve"> </w:t>
      </w:r>
      <w:r w:rsidR="00BC3BAE">
        <w:t>was added in a concen</w:t>
      </w:r>
      <w:r w:rsidR="0007052C">
        <w:t xml:space="preserve">tration of </w:t>
      </w:r>
      <w:r w:rsidR="005A1F50">
        <w:t xml:space="preserve">10% </w:t>
      </w:r>
      <w:r w:rsidR="0007052C">
        <w:t>(</w:t>
      </w:r>
      <w:r w:rsidR="005A1F50">
        <w:t>w/w</w:t>
      </w:r>
      <w:r w:rsidR="0007052C">
        <w:t>)</w:t>
      </w:r>
      <w:r w:rsidR="005A1F50">
        <w:t xml:space="preserve"> of the total solid content</w:t>
      </w:r>
      <w:r w:rsidR="0007052C">
        <w:t>.</w:t>
      </w:r>
      <w:r w:rsidR="009C50F2">
        <w:t xml:space="preserve"> </w:t>
      </w:r>
      <w:r w:rsidR="00787148">
        <w:t xml:space="preserve">SC blended </w:t>
      </w:r>
      <w:r w:rsidR="00843199">
        <w:t xml:space="preserve">with GG and BW </w:t>
      </w:r>
      <w:r w:rsidR="00864439">
        <w:t xml:space="preserve">(SC/GG/BW) </w:t>
      </w:r>
      <w:r w:rsidR="00843199">
        <w:t xml:space="preserve">has been prepared following the procedure of </w:t>
      </w:r>
      <w:r w:rsidR="00843199">
        <w:fldChar w:fldCharType="begin" w:fldLock="1"/>
      </w:r>
      <w:r w:rsidR="005D5B6B">
        <w:instrText>ADDIN CSL_CITATION {"citationItems":[{"id":"ITEM-1","itemData":{"DOI":"10.1016/j.jfoodeng.2022.111123","ISSN":"0260-8774","author":[{"dropping-particle":"","family":"Miele","given":"Nicoletta Antonella","non-dropping-particle":"","parse-names":false,"suffix":""},{"dropping-particle":"","family":"Volpe","given":"Stefania","non-dropping-particle":"","parse-names":false,"suffix":""},{"dropping-particle":"","family":"Torrieri","given":"Elena","non-dropping-particle":"","parse-names":false,"suffix":""},{"dropping-particle":"","family":"Cavella","given":"Silvana","non-dropping-particle":"","parse-names":false,"suffix":""}],"container-title":"Journal of Food Engineering","id":"ITEM-1","issue":"May","issued":{"date-parts":[["2022"]]},"page":"111123","publisher":"Elsevier Ltd","title":"Improving physical properties of sodium caseinate based coating with the optimal formulation : Effect on strawberries ’ respiration and transpiration rates","type":"article-journal","volume":"331"},"uris":["http://www.mendeley.com/documents/?uuid=c9bd0626-14b0-4bb6-bf0d-cd4a38c35195"]}],"mendeley":{"formattedCitation":"(Miele et al., 2022)","plainTextFormattedCitation":"(Miele et al., 2022)","previouslyFormattedCitation":"(Miele et al., 2022)"},"properties":{"noteIndex":0},"schema":"https://github.com/citation-style-language/schema/raw/master/csl-citation.json"}</w:instrText>
      </w:r>
      <w:r w:rsidR="00843199">
        <w:fldChar w:fldCharType="separate"/>
      </w:r>
      <w:r w:rsidR="00843199" w:rsidRPr="00843199">
        <w:rPr>
          <w:noProof/>
        </w:rPr>
        <w:t>(Miele et al., 2022)</w:t>
      </w:r>
      <w:r w:rsidR="00843199">
        <w:fldChar w:fldCharType="end"/>
      </w:r>
      <w:r w:rsidR="00843199">
        <w:t xml:space="preserve">. </w:t>
      </w:r>
      <w:r w:rsidR="00205B4C">
        <w:t xml:space="preserve">Briefly, </w:t>
      </w:r>
      <w:r w:rsidR="00977C68">
        <w:t xml:space="preserve">the coating was composed of </w:t>
      </w:r>
      <w:r w:rsidR="00EB247C">
        <w:t>8% of SC (w/v</w:t>
      </w:r>
      <w:proofErr w:type="gramStart"/>
      <w:r w:rsidR="00EB247C">
        <w:t>)</w:t>
      </w:r>
      <w:r w:rsidR="00977C68">
        <w:t>,</w:t>
      </w:r>
      <w:r w:rsidR="00EB247C">
        <w:t xml:space="preserve"> </w:t>
      </w:r>
      <w:r w:rsidR="00FB0C91">
        <w:t xml:space="preserve"> </w:t>
      </w:r>
      <w:r w:rsidR="00977C68">
        <w:t>0</w:t>
      </w:r>
      <w:proofErr w:type="gramEnd"/>
      <w:r w:rsidR="00977C68">
        <w:t>. 2% (w/v) of</w:t>
      </w:r>
      <w:r w:rsidR="00FB0C91">
        <w:t>,</w:t>
      </w:r>
      <w:r w:rsidR="00820FAA">
        <w:t xml:space="preserve"> 2</w:t>
      </w:r>
      <w:r w:rsidR="00977C68">
        <w:t xml:space="preserve"> </w:t>
      </w:r>
      <w:r w:rsidR="00820FAA">
        <w:t>% of</w:t>
      </w:r>
      <w:r w:rsidR="00FB0C91">
        <w:t xml:space="preserve"> BW</w:t>
      </w:r>
      <w:r w:rsidR="00820FAA">
        <w:t xml:space="preserve"> (w/v), </w:t>
      </w:r>
      <w:r w:rsidR="00BB126A">
        <w:t>0.25</w:t>
      </w:r>
      <w:r w:rsidR="00977C68">
        <w:t xml:space="preserve"> </w:t>
      </w:r>
      <w:r w:rsidR="00BB126A">
        <w:t>% (v/v) of T80 and 0.25</w:t>
      </w:r>
      <w:r w:rsidR="00977C68">
        <w:t xml:space="preserve"> </w:t>
      </w:r>
      <w:r w:rsidR="00BB126A">
        <w:t>% (v/v) of S80</w:t>
      </w:r>
      <w:r w:rsidR="00977C68">
        <w:t>.</w:t>
      </w:r>
      <w:r w:rsidR="00BB126A">
        <w:t xml:space="preserve"> </w:t>
      </w:r>
      <w:r w:rsidR="008A6F5C">
        <w:t xml:space="preserve"> </w:t>
      </w:r>
    </w:p>
    <w:p w14:paraId="336A0311" w14:textId="04886103" w:rsidR="00EF5DFB" w:rsidRDefault="00EF5DFB" w:rsidP="003A006A">
      <w:pPr>
        <w:pStyle w:val="CETheadingx"/>
      </w:pPr>
      <w:r>
        <w:t>Sample preparation</w:t>
      </w:r>
      <w:r w:rsidR="00600AA6">
        <w:t xml:space="preserve"> and storage conditions</w:t>
      </w:r>
    </w:p>
    <w:p w14:paraId="5224E8B5" w14:textId="720D00CC" w:rsidR="00E743FD" w:rsidRPr="002D1374" w:rsidRDefault="00521A37" w:rsidP="003B12F4">
      <w:pPr>
        <w:pStyle w:val="CETBodytext"/>
      </w:pPr>
      <w:r>
        <w:t>To study the respiration rate as function of coating composition, cherry tomatoes were</w:t>
      </w:r>
      <w:r w:rsidR="00230317">
        <w:t xml:space="preserve"> previously</w:t>
      </w:r>
      <w:r>
        <w:t xml:space="preserve"> washed under tap water</w:t>
      </w:r>
      <w:r w:rsidR="00230317">
        <w:t xml:space="preserve"> and dried. Then were</w:t>
      </w:r>
      <w:r>
        <w:t xml:space="preserve"> dipped by hand into the SC</w:t>
      </w:r>
      <w:r w:rsidR="00537419">
        <w:t>/CH</w:t>
      </w:r>
      <w:r>
        <w:t xml:space="preserve"> </w:t>
      </w:r>
      <w:r w:rsidR="00537419">
        <w:t xml:space="preserve">or </w:t>
      </w:r>
      <w:r w:rsidR="002D6E1E">
        <w:t xml:space="preserve">SC/0.2GG, SC/0.3GG, SC/0.4GG </w:t>
      </w:r>
      <w:r w:rsidR="00230317">
        <w:t xml:space="preserve">blends </w:t>
      </w:r>
      <w:r>
        <w:t>for 2 min and then quickly withdrawn and drained. Coated and uncoated tomatoes were dried at 30</w:t>
      </w:r>
      <w:r w:rsidR="003815DB">
        <w:t xml:space="preserve"> </w:t>
      </w:r>
      <w:r>
        <w:t xml:space="preserve">°C and 50 % relative humidity (RH) for one hour in circulating air system chamber (MMM </w:t>
      </w:r>
      <w:proofErr w:type="spellStart"/>
      <w:r>
        <w:t>Medcenter</w:t>
      </w:r>
      <w:proofErr w:type="spellEnd"/>
      <w:r>
        <w:t xml:space="preserve"> </w:t>
      </w:r>
      <w:proofErr w:type="spellStart"/>
      <w:r>
        <w:t>Einrichtungen</w:t>
      </w:r>
      <w:proofErr w:type="spellEnd"/>
      <w:r>
        <w:t xml:space="preserve"> GmbH, Munich, Germany) before testing or packaging.</w:t>
      </w:r>
      <w:r w:rsidR="00762C82">
        <w:t xml:space="preserve"> </w:t>
      </w:r>
      <w:r w:rsidR="006A50E9">
        <w:t xml:space="preserve">To study the effect of PAW and coating on quality of product during storage, cherry tomatoes were washed with </w:t>
      </w:r>
      <w:r w:rsidR="003D4147">
        <w:t>PAW</w:t>
      </w:r>
      <w:r w:rsidR="006A50E9">
        <w:t xml:space="preserve"> for 2 minutes at 30</w:t>
      </w:r>
      <w:r w:rsidR="003815DB">
        <w:t xml:space="preserve"> </w:t>
      </w:r>
      <w:r w:rsidR="006A50E9">
        <w:t xml:space="preserve">°C and </w:t>
      </w:r>
      <w:r w:rsidR="003D4147">
        <w:t>once dried,</w:t>
      </w:r>
      <w:r w:rsidR="006A50E9">
        <w:t xml:space="preserve"> were coated with the optimized coating. After the drying process, samples</w:t>
      </w:r>
      <w:r w:rsidR="00E62535">
        <w:t xml:space="preserve"> (200 g) </w:t>
      </w:r>
      <w:r w:rsidR="006A50E9">
        <w:t xml:space="preserve">were put on a cardboard tray and </w:t>
      </w:r>
      <w:proofErr w:type="spellStart"/>
      <w:r w:rsidR="006A50E9">
        <w:t>Naturflex</w:t>
      </w:r>
      <w:proofErr w:type="spellEnd"/>
      <w:r w:rsidR="006A50E9">
        <w:t xml:space="preserve"> </w:t>
      </w:r>
      <w:r w:rsidR="001B49AC">
        <w:t xml:space="preserve">film </w:t>
      </w:r>
      <w:r w:rsidR="00E664C3">
        <w:t>(</w:t>
      </w:r>
      <w:proofErr w:type="spellStart"/>
      <w:r w:rsidR="00E664C3">
        <w:t>Innovia</w:t>
      </w:r>
      <w:proofErr w:type="spellEnd"/>
      <w:r w:rsidR="00E664C3">
        <w:t xml:space="preserve"> Films, Cumbria, UK) </w:t>
      </w:r>
      <w:r w:rsidR="006A50E9">
        <w:t>w</w:t>
      </w:r>
      <w:r w:rsidR="001B49AC">
        <w:t>as</w:t>
      </w:r>
      <w:r w:rsidR="006A50E9">
        <w:t xml:space="preserve"> used to pack the tray</w:t>
      </w:r>
      <w:r w:rsidR="00A47013">
        <w:t xml:space="preserve">. </w:t>
      </w:r>
      <w:r w:rsidR="00E62535">
        <w:t xml:space="preserve">Commercial cherry tomatoes </w:t>
      </w:r>
      <w:r w:rsidR="008913FD">
        <w:t xml:space="preserve">(only packed without washing) </w:t>
      </w:r>
      <w:r w:rsidR="00E62535">
        <w:t xml:space="preserve">were chosen as control sample. </w:t>
      </w:r>
      <w:r w:rsidR="001C6FF2">
        <w:t xml:space="preserve">The packaged cherry tomatoes were stored at 4°C </w:t>
      </w:r>
      <w:r w:rsidR="00795B31">
        <w:t>up to 14 days.</w:t>
      </w:r>
    </w:p>
    <w:p w14:paraId="7B2F5E11" w14:textId="7EFE70C0" w:rsidR="00E35295" w:rsidRPr="004C7AB8" w:rsidRDefault="004C7AB8" w:rsidP="003A006A">
      <w:pPr>
        <w:pStyle w:val="CETheadingx"/>
      </w:pPr>
      <w:r>
        <w:t xml:space="preserve"> </w:t>
      </w:r>
      <w:r w:rsidR="00E35295" w:rsidRPr="004C7AB8">
        <w:t>Respiration rate measurement</w:t>
      </w:r>
    </w:p>
    <w:p w14:paraId="7C0C1236" w14:textId="0FF71710" w:rsidR="00A94546" w:rsidRDefault="00B966F8">
      <w:pPr>
        <w:pStyle w:val="CETBodytext"/>
      </w:pPr>
      <w:r>
        <w:t xml:space="preserve">Respiration rate </w:t>
      </w:r>
      <w:r w:rsidR="0045267F">
        <w:t>expressed as O</w:t>
      </w:r>
      <w:r w:rsidR="0045267F" w:rsidRPr="002C7C32">
        <w:rPr>
          <w:vertAlign w:val="subscript"/>
        </w:rPr>
        <w:t>2</w:t>
      </w:r>
      <w:r w:rsidR="0045267F">
        <w:t xml:space="preserve"> consumption (RO</w:t>
      </w:r>
      <w:r w:rsidR="0045267F" w:rsidRPr="002C7C32">
        <w:rPr>
          <w:vertAlign w:val="subscript"/>
        </w:rPr>
        <w:t>2</w:t>
      </w:r>
      <w:r w:rsidR="0045267F">
        <w:t xml:space="preserve">) </w:t>
      </w:r>
      <w:r>
        <w:t>has been measured as reported in</w:t>
      </w:r>
      <w:r w:rsidR="00BE136F">
        <w:t xml:space="preserve"> </w:t>
      </w:r>
      <w:r w:rsidR="00BE136F">
        <w:fldChar w:fldCharType="begin" w:fldLock="1"/>
      </w:r>
      <w:r w:rsidR="005D5B6B">
        <w:instrText>ADDIN CSL_CITATION {"citationItems":[{"id":"ITEM-1","itemData":{"DOI":"10.1111/j.1365-2621.2010.02387.x","ISSN":"09505423","abstract":"In this work, the effect of temperature, oxygen and carbon dioxide on the respiration rate of minimally processed broccoli was studied to develop suitable modified atmosphere packaging. Respiration rate was measured at 3, 5, 7, 10, 15 and 20 °C under different gas compositions of O2 and CO2 (1%, 5%, 10%, 15% and 21% of O2 with the balance N2, a mixture of 10% and 20% of carbon dioxide with the balance air and a mixture at 3% of O2 and 15% of CO2 with the balance N2). As expected, temperature was the most influential factor on respiration rate, for all atmospheres tested: increasing the temperature from 3 to 20 °C resulted, for air-stored samples, in a 84% change in oxygen respiration rate, whereas at constant temperature, the respiration rate decreased by 35% with lowering the O2 concentration from 21% to 1% and by 44% with increasing the CO2 concentration from 0% to 20%. The Michaelis and Menten competitive model with maximum respiration rate varying against temperature with an Arrhenius equation accurately described the influence of gas composition and temperature on the respiration rate of minimally processed broccoli, and it was used to design a suitable package. © 2010 The Authors. International Journal of Food Science and Technology © 2010 Institute of Food Science and Technology.","author":[{"dropping-particle":"","family":"Torrieri","given":"Elena","non-dropping-particle":"","parse-names":false,"suffix":""},{"dropping-particle":"","family":"Perone","given":"Nadia","non-dropping-particle":"","parse-names":false,"suffix":""},{"dropping-particle":"","family":"Cavella","given":"Silvana","non-dropping-particle":"","parse-names":false,"suffix":""},{"dropping-particle":"","family":"Masi","given":"Paolo","non-dropping-particle":"","parse-names":false,"suffix":""}],"container-title":"International Journal of Food Science and Technology","id":"ITEM-1","issue":"10","issued":{"date-parts":[["2010"]]},"page":"2186-2193","title":"Modelling the respiration rate of minimally processed broccoli (Brassica rapa var. sylvestris) for modified atmosphere package design","type":"article-journal","volume":"45"},"uris":["http://www.mendeley.com/documents/?uuid=daa601e5-58b5-47b3-ae16-52dbfa941773"]}],"mendeley":{"formattedCitation":"(Torrieri, Perone, Cavella, &amp; Masi, 2010)","plainTextFormattedCitation":"(Torrieri, Perone, Cavella, &amp; Masi, 2010)","previouslyFormattedCitation":"(Torrieri et al., 2010)"},"properties":{"noteIndex":0},"schema":"https://github.com/citation-style-language/schema/raw/master/csl-citation.json"}</w:instrText>
      </w:r>
      <w:r w:rsidR="00BE136F">
        <w:fldChar w:fldCharType="separate"/>
      </w:r>
      <w:r w:rsidR="005D5B6B" w:rsidRPr="005D5B6B">
        <w:rPr>
          <w:noProof/>
        </w:rPr>
        <w:t>(Torrieri, Perone, Cavella, &amp; Masi, 2010)</w:t>
      </w:r>
      <w:r w:rsidR="00BE136F">
        <w:fldChar w:fldCharType="end"/>
      </w:r>
      <w:r w:rsidR="000D5B21">
        <w:t xml:space="preserve"> on cherry tomatoes</w:t>
      </w:r>
      <w:r w:rsidR="00357E55">
        <w:t xml:space="preserve"> (0.5 kg)</w:t>
      </w:r>
      <w:r w:rsidR="000D5B21">
        <w:t xml:space="preserve"> at 5, 10, 15 20 and 25</w:t>
      </w:r>
      <w:r w:rsidR="003815DB">
        <w:t xml:space="preserve"> </w:t>
      </w:r>
      <w:r w:rsidR="000D5B21">
        <w:t xml:space="preserve">°C. Then, </w:t>
      </w:r>
      <w:r w:rsidR="0045267F">
        <w:t>RO</w:t>
      </w:r>
      <w:r w:rsidR="0045267F" w:rsidRPr="002C7C32">
        <w:rPr>
          <w:vertAlign w:val="subscript"/>
        </w:rPr>
        <w:t>2</w:t>
      </w:r>
      <w:r w:rsidR="0045267F">
        <w:rPr>
          <w:vertAlign w:val="subscript"/>
        </w:rPr>
        <w:t xml:space="preserve"> </w:t>
      </w:r>
      <w:r w:rsidR="006E2BD8">
        <w:t xml:space="preserve">was measured </w:t>
      </w:r>
      <w:r w:rsidR="00852291">
        <w:t>at 20</w:t>
      </w:r>
      <w:r w:rsidR="003815DB">
        <w:t xml:space="preserve"> </w:t>
      </w:r>
      <w:r w:rsidR="00852291">
        <w:t xml:space="preserve">°C on </w:t>
      </w:r>
      <w:r w:rsidR="0045267F">
        <w:t>coated cherry tomatoes.</w:t>
      </w:r>
    </w:p>
    <w:p w14:paraId="40D035FD" w14:textId="02386C97" w:rsidR="00A67F20" w:rsidRDefault="00A67F20" w:rsidP="003A006A">
      <w:pPr>
        <w:pStyle w:val="CETheadingx"/>
      </w:pPr>
      <w:r>
        <w:t>Headspace Gas Analysis</w:t>
      </w:r>
    </w:p>
    <w:p w14:paraId="5DDEB4CC" w14:textId="5834848A" w:rsidR="00A67F20" w:rsidRPr="00A67F20" w:rsidRDefault="00D55C54" w:rsidP="003B12F4">
      <w:pPr>
        <w:pStyle w:val="CETBodytext"/>
      </w:pPr>
      <w:r>
        <w:t>O</w:t>
      </w:r>
      <w:r w:rsidRPr="003B12F4">
        <w:rPr>
          <w:vertAlign w:val="subscript"/>
        </w:rPr>
        <w:t>2</w:t>
      </w:r>
      <w:r>
        <w:t xml:space="preserve"> and CO</w:t>
      </w:r>
      <w:r w:rsidRPr="003B12F4">
        <w:rPr>
          <w:vertAlign w:val="subscript"/>
        </w:rPr>
        <w:t>2</w:t>
      </w:r>
      <w:r>
        <w:t xml:space="preserve"> concentration (% v/v) in the package head space were monitored by means of a portable PBI </w:t>
      </w:r>
      <w:proofErr w:type="spellStart"/>
      <w:r>
        <w:t>Dansensor</w:t>
      </w:r>
      <w:proofErr w:type="spellEnd"/>
      <w:r>
        <w:t xml:space="preserve"> A/S (Check Mate 9900 O</w:t>
      </w:r>
      <w:r w:rsidRPr="003B12F4">
        <w:rPr>
          <w:vertAlign w:val="subscript"/>
        </w:rPr>
        <w:t>2</w:t>
      </w:r>
      <w:r>
        <w:t>/CO</w:t>
      </w:r>
      <w:r w:rsidRPr="003B12F4">
        <w:rPr>
          <w:vertAlign w:val="subscript"/>
        </w:rPr>
        <w:t>2</w:t>
      </w:r>
      <w:r>
        <w:t>; Ringsted, Denmark) analyzer (accuracy ±0.1%), by sampling with a needle 2–3 mL of gas from the package headspace</w:t>
      </w:r>
      <w:r w:rsidR="003B12F4">
        <w:t>.</w:t>
      </w:r>
    </w:p>
    <w:p w14:paraId="5A797159" w14:textId="49AA93A1" w:rsidR="000F4E1F" w:rsidRDefault="004C7AB8" w:rsidP="003A006A">
      <w:pPr>
        <w:pStyle w:val="CETheadingx"/>
      </w:pPr>
      <w:r>
        <w:t xml:space="preserve"> </w:t>
      </w:r>
      <w:proofErr w:type="spellStart"/>
      <w:r w:rsidR="00F0390B">
        <w:t>Chemico</w:t>
      </w:r>
      <w:proofErr w:type="spellEnd"/>
      <w:r w:rsidR="00F0390B">
        <w:t>-physical properties</w:t>
      </w:r>
    </w:p>
    <w:p w14:paraId="62A7B8B2" w14:textId="5F6F6948" w:rsidR="00BE1BEB" w:rsidRPr="00BE1BEB" w:rsidRDefault="006E4B56" w:rsidP="003B12F4">
      <w:pPr>
        <w:pStyle w:val="CETBodytext"/>
      </w:pPr>
      <w:r>
        <w:t xml:space="preserve">Weight loss was </w:t>
      </w:r>
      <w:r w:rsidR="006736AD">
        <w:t>determined by using a gravimetric method.</w:t>
      </w:r>
      <w:r w:rsidR="00F0217F">
        <w:t xml:space="preserve"> MP cherry tomatoes were weighted before the packaging and </w:t>
      </w:r>
      <w:r w:rsidR="00790565">
        <w:t>at different storage time by using a balance</w:t>
      </w:r>
      <w:r w:rsidR="00ED79FD">
        <w:t xml:space="preserve"> </w:t>
      </w:r>
      <w:r w:rsidR="00ED79FD" w:rsidRPr="004933D1">
        <w:rPr>
          <w:noProof/>
          <w:lang w:val="en-GB"/>
        </w:rPr>
        <w:t>(Mark Ben 3000, Monza, Italia)</w:t>
      </w:r>
      <w:r w:rsidR="00790565">
        <w:t xml:space="preserve"> with an accuracy of 0.01 g</w:t>
      </w:r>
      <w:r w:rsidR="00ED79FD">
        <w:t>.</w:t>
      </w:r>
      <w:r w:rsidR="003815DB">
        <w:t xml:space="preserve"> </w:t>
      </w:r>
      <w:r w:rsidR="007D3E57">
        <w:t>The color of the samples were determined</w:t>
      </w:r>
      <w:r w:rsidR="00DD2C6E">
        <w:t xml:space="preserve"> as reported by </w:t>
      </w:r>
      <w:r w:rsidR="00E82AEE">
        <w:fldChar w:fldCharType="begin" w:fldLock="1"/>
      </w:r>
      <w:r w:rsidR="005D5B6B">
        <w:instrText>ADDIN CSL_CITATION {"citationItems":[{"id":"ITEM-1","itemData":{"DOI":"10.3303/CET1975083","ISBN":"9788895608716","ISSN":"22839216","abstract":"Iceberg lettuce (Lactuca sativa L.) is a highly perishable product and it is considered one of the most popular minimally processed vegetables. Commercially available iceberg lettuce has a short shelf-life of 7 days at 7°C. Enzymatic browning is one of the main factors affecting product shelf life when oxygen is present in the packaging system. For this purpose, the aim of this work was (i) to investigate the decay kinetics of minimally processed iceberg salad following polyphenols and browning index evolution at different temperature (4°C, 8°C, 12°C); (ii) to evaluate the effect of salicylic acid on enzymatic browning. Minimally processed iceberg samples were stored at 4°C, 8°C, 12°C in air for 14 days. Samples treated with salicylic acid were stored at 8°C for 14 days. Polyphenols and browning index were evaluated by spectrophotometric analysis. The kinetics constant and activation energy (Ea) has been calculated by non-linear regression. The enzymatic browning was well described by a pseudo first order kinetic. The kinetic constant at reference temperature (8°C) was 0.00948 h-1 for polyphenols decay and 0.0184 h-1 for browning index. Ea for polyphenols and browning index were 83.21 kJ/mol and 63.49 kJ/mol, respectively. Salicylic acid showed a significant effect on enzymatic browning kinetic by delaying the evolution of the reaction during the first days of storage.","author":[{"dropping-particle":"","family":"Giuseppe","given":"Fabio A.","non-dropping-particle":"Di","parse-names":false,"suffix":""},{"dropping-particle":"","family":"Volpe","given":"Stefania","non-dropping-particle":"","parse-names":false,"suffix":""},{"dropping-particle":"Di","family":"Pierro","given":"Prospero","non-dropping-particle":"","parse-names":false,"suffix":""},{"dropping-particle":"","family":"Sorrentino","given":"Angela","non-dropping-particle":"","parse-names":false,"suffix":""},{"dropping-particle":"","family":"Cavella","given":"Silvana","non-dropping-particle":"","parse-names":false,"suffix":""},{"dropping-particle":"","family":"Torrieri","given":"Elena","non-dropping-particle":"","parse-names":false,"suffix":""}],"container-title":"Chemical Engineering Transactions","id":"ITEM-1","issue":"April 2018","issued":{"date-parts":[["2019"]]},"page":"493-498","title":"Kinetics of enzymatic browning of minimally processed iceberg salad","type":"article-journal","volume":"75"},"uris":["http://www.mendeley.com/documents/?uuid=d4f0c6d7-30f0-4776-ae36-367b6988115f","http://www.mendeley.com/documents/?uuid=e219c23c-42fa-43fc-982f-41652a97b94c"]}],"mendeley":{"formattedCitation":"(Di Giuseppe et al., 2019)","plainTextFormattedCitation":"(Di Giuseppe et al., 2019)","previouslyFormattedCitation":"(Di Giuseppe et al., 2019)"},"properties":{"noteIndex":0},"schema":"https://github.com/citation-style-language/schema/raw/master/csl-citation.json"}</w:instrText>
      </w:r>
      <w:r w:rsidR="00E82AEE">
        <w:fldChar w:fldCharType="separate"/>
      </w:r>
      <w:r w:rsidR="00E82AEE" w:rsidRPr="00E82AEE">
        <w:rPr>
          <w:noProof/>
        </w:rPr>
        <w:t>(Di Giuseppe et al., 2019)</w:t>
      </w:r>
      <w:r w:rsidR="00E82AEE">
        <w:fldChar w:fldCharType="end"/>
      </w:r>
      <w:r w:rsidR="00E82AEE">
        <w:t xml:space="preserve">. </w:t>
      </w:r>
    </w:p>
    <w:p w14:paraId="574B5A8D" w14:textId="15B23A8F" w:rsidR="009F196D" w:rsidRDefault="00DA616C" w:rsidP="003B12F4">
      <w:pPr>
        <w:pStyle w:val="CETBodytext"/>
        <w:rPr>
          <w:rFonts w:eastAsiaTheme="majorEastAsia"/>
          <w:bCs/>
          <w:noProof/>
          <w:szCs w:val="32"/>
          <w:lang w:val="en-GB"/>
        </w:rPr>
      </w:pPr>
      <w:r w:rsidRPr="004933D1">
        <w:rPr>
          <w:rFonts w:eastAsiaTheme="majorEastAsia"/>
          <w:bCs/>
          <w:noProof/>
          <w:szCs w:val="32"/>
          <w:lang w:val="en-GB"/>
        </w:rPr>
        <w:t xml:space="preserve">pH, and total soluble solids (TSS) </w:t>
      </w:r>
      <w:r>
        <w:rPr>
          <w:rFonts w:eastAsiaTheme="majorEastAsia"/>
          <w:bCs/>
          <w:noProof/>
          <w:szCs w:val="32"/>
          <w:lang w:val="en-GB"/>
        </w:rPr>
        <w:t>were measured by using</w:t>
      </w:r>
      <w:r w:rsidR="00901615">
        <w:rPr>
          <w:rFonts w:eastAsiaTheme="majorEastAsia"/>
          <w:bCs/>
          <w:noProof/>
          <w:szCs w:val="32"/>
          <w:lang w:val="en-GB"/>
        </w:rPr>
        <w:t xml:space="preserve"> tomato juice</w:t>
      </w:r>
      <w:r w:rsidR="00431E39">
        <w:rPr>
          <w:rFonts w:eastAsiaTheme="majorEastAsia"/>
          <w:bCs/>
          <w:noProof/>
          <w:szCs w:val="32"/>
          <w:lang w:val="en-GB"/>
        </w:rPr>
        <w:t>.</w:t>
      </w:r>
      <w:r w:rsidR="00977C68">
        <w:t xml:space="preserve"> </w:t>
      </w:r>
      <w:r w:rsidR="002D1BF3">
        <w:t xml:space="preserve">To measure the firmness of the samples, a texture analyzer (TMS-Pro Texture Analyzer Food Tech Corporation) has been </w:t>
      </w:r>
      <w:r w:rsidR="006A1990">
        <w:t>used</w:t>
      </w:r>
      <w:r w:rsidR="002D1BF3">
        <w:t xml:space="preserve"> by performing a penetration test (load cell: 50 N; penetration rate: </w:t>
      </w:r>
      <w:r w:rsidR="00977C68">
        <w:t xml:space="preserve">10 </w:t>
      </w:r>
      <w:r w:rsidR="002D1BF3">
        <w:t>mm min</w:t>
      </w:r>
      <w:r w:rsidR="002D1BF3" w:rsidRPr="003B12F4">
        <w:rPr>
          <w:vertAlign w:val="superscript"/>
        </w:rPr>
        <w:t>-1</w:t>
      </w:r>
      <w:r w:rsidR="002D1BF3">
        <w:t>).</w:t>
      </w:r>
      <w:r w:rsidR="00D129A3" w:rsidRPr="00D129A3">
        <w:rPr>
          <w:rFonts w:eastAsiaTheme="majorEastAsia"/>
          <w:bCs/>
          <w:noProof/>
          <w:szCs w:val="32"/>
          <w:lang w:val="en-GB"/>
        </w:rPr>
        <w:t xml:space="preserve"> </w:t>
      </w:r>
      <w:r w:rsidR="00D129A3">
        <w:rPr>
          <w:rFonts w:eastAsiaTheme="majorEastAsia"/>
          <w:bCs/>
          <w:noProof/>
          <w:szCs w:val="32"/>
          <w:lang w:val="en-GB"/>
        </w:rPr>
        <w:t xml:space="preserve">Firmness </w:t>
      </w:r>
      <w:r w:rsidR="00D129A3" w:rsidRPr="00EC5A9B">
        <w:rPr>
          <w:rFonts w:eastAsiaTheme="majorEastAsia"/>
          <w:bCs/>
          <w:noProof/>
          <w:szCs w:val="32"/>
          <w:lang w:val="en-GB"/>
        </w:rPr>
        <w:t>has been calculated as the</w:t>
      </w:r>
      <w:r w:rsidR="00D129A3">
        <w:rPr>
          <w:rFonts w:eastAsiaTheme="majorEastAsia"/>
          <w:bCs/>
          <w:noProof/>
          <w:szCs w:val="32"/>
          <w:lang w:val="en-GB"/>
        </w:rPr>
        <w:t xml:space="preserve"> </w:t>
      </w:r>
      <w:r w:rsidR="00D129A3" w:rsidRPr="00EC5A9B">
        <w:rPr>
          <w:rFonts w:eastAsiaTheme="majorEastAsia"/>
          <w:bCs/>
          <w:noProof/>
          <w:szCs w:val="32"/>
          <w:lang w:val="en-GB"/>
        </w:rPr>
        <w:t>maximum force required to compress the sample</w:t>
      </w:r>
      <w:r w:rsidR="00D129A3" w:rsidRPr="005A0B66">
        <w:rPr>
          <w:rFonts w:eastAsiaTheme="majorEastAsia"/>
          <w:bCs/>
          <w:noProof/>
          <w:szCs w:val="32"/>
          <w:lang w:val="en-GB"/>
        </w:rPr>
        <w:t xml:space="preserve"> </w:t>
      </w:r>
      <w:r w:rsidR="00D129A3">
        <w:rPr>
          <w:rFonts w:eastAsiaTheme="majorEastAsia"/>
          <w:bCs/>
          <w:noProof/>
          <w:szCs w:val="32"/>
          <w:lang w:val="en-GB"/>
        </w:rPr>
        <w:t>up to a depth of 35%</w:t>
      </w:r>
      <w:r w:rsidR="00D129A3" w:rsidRPr="00EC5A9B">
        <w:rPr>
          <w:rFonts w:eastAsiaTheme="majorEastAsia"/>
          <w:bCs/>
          <w:noProof/>
          <w:szCs w:val="32"/>
          <w:lang w:val="en-GB"/>
        </w:rPr>
        <w:t>.</w:t>
      </w:r>
    </w:p>
    <w:p w14:paraId="3038F851" w14:textId="65D3EACD" w:rsidR="004C1B6D" w:rsidRDefault="004C1B6D" w:rsidP="003A006A">
      <w:pPr>
        <w:pStyle w:val="CETheadingx"/>
      </w:pPr>
      <w:r>
        <w:lastRenderedPageBreak/>
        <w:t xml:space="preserve"> Total polyphenol content</w:t>
      </w:r>
      <w:r w:rsidR="009831E7">
        <w:t xml:space="preserve"> and antioxidant activity</w:t>
      </w:r>
    </w:p>
    <w:p w14:paraId="4B8C3C6C" w14:textId="55E486F2" w:rsidR="000525FE" w:rsidRPr="000525FE" w:rsidRDefault="000A3A13" w:rsidP="005F5E3B">
      <w:pPr>
        <w:pStyle w:val="CETBodytext"/>
      </w:pPr>
      <w:r>
        <w:t>The total phenol content (TPC) of minimally processed tomatoes was determined according to a Folin-</w:t>
      </w:r>
      <w:proofErr w:type="spellStart"/>
      <w:r>
        <w:t>Ciocalteu</w:t>
      </w:r>
      <w:proofErr w:type="spellEnd"/>
      <w:r>
        <w:t xml:space="preserve"> method as </w:t>
      </w:r>
      <w:r w:rsidR="00497C52">
        <w:t>reported</w:t>
      </w:r>
      <w:r>
        <w:t xml:space="preserve"> by</w:t>
      </w:r>
      <w:r w:rsidR="00497C52">
        <w:t xml:space="preserve"> </w:t>
      </w:r>
      <w:r w:rsidR="00497C52">
        <w:fldChar w:fldCharType="begin" w:fldLock="1"/>
      </w:r>
      <w:r w:rsidR="005D5B6B">
        <w:instrText>ADDIN CSL_CITATION {"citationItems":[{"id":"ITEM-1","itemData":{"DOI":"10.3303/CET1975083","ISBN":"9788895608716","ISSN":"22839216","abstract":"Iceberg lettuce (Lactuca sativa L.) is a highly perishable product and it is considered one of the most popular minimally processed vegetables. Commercially available iceberg lettuce has a short shelf-life of 7 days at 7°C. Enzymatic browning is one of the main factors affecting product shelf life when oxygen is present in the packaging system. For this purpose, the aim of this work was (i) to investigate the decay kinetics of minimally processed iceberg salad following polyphenols and browning index evolution at different temperature (4°C, 8°C, 12°C); (ii) to evaluate the effect of salicylic acid on enzymatic browning. Minimally processed iceberg samples were stored at 4°C, 8°C, 12°C in air for 14 days. Samples treated with salicylic acid were stored at 8°C for 14 days. Polyphenols and browning index were evaluated by spectrophotometric analysis. The kinetics constant and activation energy (Ea) has been calculated by non-linear regression. The enzymatic browning was well described by a pseudo first order kinetic. The kinetic constant at reference temperature (8°C) was 0.00948 h-1 for polyphenols decay and 0.0184 h-1 for browning index. Ea for polyphenols and browning index were 83.21 kJ/mol and 63.49 kJ/mol, respectively. Salicylic acid showed a significant effect on enzymatic browning kinetic by delaying the evolution of the reaction during the first days of storage.","author":[{"dropping-particle":"","family":"Giuseppe","given":"Fabio A.","non-dropping-particle":"Di","parse-names":false,"suffix":""},{"dropping-particle":"","family":"Volpe","given":"Stefania","non-dropping-particle":"","parse-names":false,"suffix":""},{"dropping-particle":"Di","family":"Pierro","given":"Prospero","non-dropping-particle":"","parse-names":false,"suffix":""},{"dropping-particle":"","family":"Sorrentino","given":"Angela","non-dropping-particle":"","parse-names":false,"suffix":""},{"dropping-particle":"","family":"Cavella","given":"Silvana","non-dropping-particle":"","parse-names":false,"suffix":""},{"dropping-particle":"","family":"Torrieri","given":"Elena","non-dropping-particle":"","parse-names":false,"suffix":""}],"container-title":"Chemical Engineering Transactions","id":"ITEM-1","issue":"April 2018","issued":{"date-parts":[["2019"]]},"page":"493-498","title":"Kinetics of enzymatic browning of minimally processed iceberg salad","type":"article-journal","volume":"75"},"uris":["http://www.mendeley.com/documents/?uuid=e219c23c-42fa-43fc-982f-41652a97b94c","http://www.mendeley.com/documents/?uuid=d4f0c6d7-30f0-4776-ae36-367b6988115f"]}],"mendeley":{"formattedCitation":"(Di Giuseppe et al., 2019)","plainTextFormattedCitation":"(Di Giuseppe et al., 2019)","previouslyFormattedCitation":"(Di Giuseppe et al., 2019)"},"properties":{"noteIndex":0},"schema":"https://github.com/citation-style-language/schema/raw/master/csl-citation.json"}</w:instrText>
      </w:r>
      <w:r w:rsidR="00497C52">
        <w:fldChar w:fldCharType="separate"/>
      </w:r>
      <w:r w:rsidR="00497C52" w:rsidRPr="00497C52">
        <w:rPr>
          <w:noProof/>
        </w:rPr>
        <w:t>(Di Giuseppe et al., 2019)</w:t>
      </w:r>
      <w:r w:rsidR="00497C52">
        <w:fldChar w:fldCharType="end"/>
      </w:r>
      <w:r>
        <w:t xml:space="preserve">. </w:t>
      </w:r>
      <w:r w:rsidR="000F3FB0">
        <w:t xml:space="preserve">The antioxidant activity </w:t>
      </w:r>
      <w:r w:rsidR="000538D4">
        <w:t xml:space="preserve">(AA) </w:t>
      </w:r>
      <w:r w:rsidR="000F3FB0">
        <w:t xml:space="preserve">was determined as reported by </w:t>
      </w:r>
      <w:r w:rsidR="000F3FB0">
        <w:fldChar w:fldCharType="begin" w:fldLock="1"/>
      </w:r>
      <w:r w:rsidR="005D5B6B">
        <w:instrText>ADDIN CSL_CITATION {"citationItems":[{"id":"ITEM-1","itemData":{"abstract":"© 2018 Chiriotti Editori. All rights reserved. The effect of biopolymer coatings (1% chitosan, 2% chitosan, caseinate/chitosan blend at ratio 2/1) in combination with anti-browning agent (1% citric acid, 1% l-ascorbic acid agents, 1% CaCl2) on the shelf life of minimally processed apples was studied. The experimental works were divided in two phases: in the first phase, the coating composition has been selected on the bases of microstructural analysis of the coatings on the fruit surface (SEM), respiration rate, water resistance, and color. In the second phase of the study, the shelf life of packed minimally processed apples coated with the selected coating was studied during storage at 5°C. The uncoated sample dipped in anti-browning solution was used as control. The following quality attributes were monitored after 1, 3, 7, 11 and 14 days: pH, hardness, relative humidity (RH %) and color. All coatings effectively reduced respiration rate of minimally processed apples but only caseinate/chitosan one was not significantly different from the control sample in terms of color attributes (p&lt;0.05). Shelf life study showed that the chitosan-caseinate coating was able to extend the product shelf life from 7 days to 11 days at 5°C.","author":[{"dropping-particle":"","family":"Volpe","given":"S.","non-dropping-particle":"","parse-names":false,"suffix":""},{"dropping-particle":"","family":"Torrieri","given":"E.","non-dropping-particle":"","parse-names":false,"suffix":""},{"dropping-particle":"","family":"Cavella","given":"S.","non-dropping-particle":"","parse-names":false,"suffix":""}],"container-title":"Italian Journal of Food Science","id":"ITEM-1","issue":"5","issued":{"date-parts":[["2018"]]},"page":"30-35","title":"Use of chitosan and chitosan-caseinate coating to prolong shelf life of minimally processed apples","type":"article-journal","volume":"30"},"uris":["http://www.mendeley.com/documents/?uuid=13857bb0-fe5d-3a8c-b8c2-ab402a790e19"]}],"mendeley":{"formattedCitation":"(Volpe, Torrieri, &amp; Cavella, 2018)","manualFormatting":"Volpe et al., (2018)","plainTextFormattedCitation":"(Volpe, Torrieri, &amp; Cavella, 2018)","previouslyFormattedCitation":"(S. Volpe et al., 2018)"},"properties":{"noteIndex":0},"schema":"https://github.com/citation-style-language/schema/raw/master/csl-citation.json"}</w:instrText>
      </w:r>
      <w:r w:rsidR="000F3FB0">
        <w:fldChar w:fldCharType="separate"/>
      </w:r>
      <w:r w:rsidR="000F3FB0" w:rsidRPr="000F3FB0">
        <w:rPr>
          <w:noProof/>
        </w:rPr>
        <w:t xml:space="preserve">Volpe et al., </w:t>
      </w:r>
      <w:r w:rsidR="000F3FB0">
        <w:rPr>
          <w:noProof/>
        </w:rPr>
        <w:t>(</w:t>
      </w:r>
      <w:r w:rsidR="000F3FB0" w:rsidRPr="000F3FB0">
        <w:rPr>
          <w:noProof/>
        </w:rPr>
        <w:t>2018)</w:t>
      </w:r>
      <w:r w:rsidR="000F3FB0">
        <w:fldChar w:fldCharType="end"/>
      </w:r>
      <w:r w:rsidR="000F3FB0">
        <w:t xml:space="preserve"> evaluating the free radical- scavenging effect on 1,1-diphenyl-2-picrylhydrazyl (DPPH) radical</w:t>
      </w:r>
      <w:r w:rsidR="005F5E3B">
        <w:t>.</w:t>
      </w:r>
    </w:p>
    <w:p w14:paraId="02CA310A" w14:textId="282BFACA" w:rsidR="00ED0435" w:rsidRPr="00825C05" w:rsidRDefault="004C7AB8" w:rsidP="003A006A">
      <w:pPr>
        <w:pStyle w:val="CETheadingx"/>
      </w:pPr>
      <w:r w:rsidRPr="00825C05">
        <w:t xml:space="preserve"> </w:t>
      </w:r>
      <w:r w:rsidR="00ED0435" w:rsidRPr="00825C05">
        <w:t>Microbiological analysis</w:t>
      </w:r>
    </w:p>
    <w:p w14:paraId="17B98D6F" w14:textId="140F7D8C" w:rsidR="552DB5BF" w:rsidRDefault="552DB5BF" w:rsidP="003B12F4">
      <w:pPr>
        <w:spacing w:line="257" w:lineRule="auto"/>
        <w:rPr>
          <w:rFonts w:ascii="Calibri" w:eastAsia="Calibri" w:hAnsi="Calibri" w:cs="Calibri"/>
          <w:sz w:val="24"/>
          <w:szCs w:val="24"/>
          <w:lang w:val="en-US"/>
        </w:rPr>
      </w:pPr>
      <w:r w:rsidRPr="003B12F4">
        <w:rPr>
          <w:rStyle w:val="CETBodytextCarattere"/>
          <w:rFonts w:eastAsia="Calibri"/>
        </w:rPr>
        <w:t xml:space="preserve">Each sample (5 cherry tomatoes) was dipped in 100 ml of quarter-strength Ringer’s solution (Oxoid) and rubbed to allow the dispersion of the microbial cells from the peel to the liquid. From the mother dilution, aliquots of serial decimal dilutions were poured in plates of Plate count Agar (PCA) for the enumeration of total bacterial count (TBC) at 30°C and at 10°C, in Pseudomonas selective agar (PSA) plates to count Pseudomonas spp. and in of </w:t>
      </w:r>
      <w:proofErr w:type="spellStart"/>
      <w:r w:rsidRPr="003B12F4">
        <w:rPr>
          <w:rStyle w:val="CETBodytextCarattere"/>
          <w:rFonts w:eastAsia="Calibri"/>
        </w:rPr>
        <w:t>Dichloran</w:t>
      </w:r>
      <w:proofErr w:type="spellEnd"/>
      <w:r w:rsidRPr="003B12F4">
        <w:rPr>
          <w:rStyle w:val="CETBodytextCarattere"/>
          <w:rFonts w:eastAsia="Calibri"/>
        </w:rPr>
        <w:t xml:space="preserve"> Rose-Bengal </w:t>
      </w:r>
      <w:proofErr w:type="spellStart"/>
      <w:r w:rsidRPr="003B12F4">
        <w:rPr>
          <w:rStyle w:val="CETBodytextCarattere"/>
          <w:rFonts w:eastAsia="Calibri"/>
        </w:rPr>
        <w:t>Cholramphenicol</w:t>
      </w:r>
      <w:proofErr w:type="spellEnd"/>
      <w:r w:rsidRPr="003B12F4">
        <w:rPr>
          <w:rStyle w:val="CETBodytextCarattere"/>
          <w:rFonts w:eastAsia="Calibri"/>
        </w:rPr>
        <w:t xml:space="preserve"> agar (DRBC) plates to count yeasts and </w:t>
      </w:r>
      <w:proofErr w:type="spellStart"/>
      <w:r w:rsidRPr="003B12F4">
        <w:rPr>
          <w:rStyle w:val="CETBodytextCarattere"/>
          <w:rFonts w:eastAsia="Calibri"/>
        </w:rPr>
        <w:t>moulds</w:t>
      </w:r>
      <w:proofErr w:type="spellEnd"/>
      <w:r w:rsidRPr="003B12F4">
        <w:rPr>
          <w:rStyle w:val="CETBodytextCarattere"/>
          <w:rFonts w:eastAsia="Calibri"/>
        </w:rPr>
        <w:t>. PCA, PSA and DRBC plates were incubated: at 30</w:t>
      </w:r>
      <w:r w:rsidR="003815DB">
        <w:rPr>
          <w:rStyle w:val="CETBodytextCarattere"/>
          <w:rFonts w:eastAsia="Calibri"/>
        </w:rPr>
        <w:t xml:space="preserve"> </w:t>
      </w:r>
      <w:r w:rsidRPr="003B12F4">
        <w:rPr>
          <w:rStyle w:val="CETBodytextCarattere"/>
          <w:rFonts w:eastAsia="Calibri"/>
        </w:rPr>
        <w:t>°C for 48 h and 10</w:t>
      </w:r>
      <w:r w:rsidR="003815DB">
        <w:rPr>
          <w:rStyle w:val="CETBodytextCarattere"/>
          <w:rFonts w:eastAsia="Calibri"/>
        </w:rPr>
        <w:t xml:space="preserve"> </w:t>
      </w:r>
      <w:r w:rsidRPr="003B12F4">
        <w:rPr>
          <w:rStyle w:val="CETBodytextCarattere"/>
          <w:rFonts w:eastAsia="Calibri"/>
        </w:rPr>
        <w:t>°C for 72 h, at 20</w:t>
      </w:r>
      <w:r w:rsidR="003815DB">
        <w:rPr>
          <w:rStyle w:val="CETBodytextCarattere"/>
          <w:rFonts w:eastAsia="Calibri"/>
        </w:rPr>
        <w:t xml:space="preserve"> </w:t>
      </w:r>
      <w:r w:rsidRPr="003B12F4">
        <w:rPr>
          <w:rStyle w:val="CETBodytextCarattere"/>
          <w:rFonts w:eastAsia="Calibri"/>
        </w:rPr>
        <w:t>°C for 72 h and at 28</w:t>
      </w:r>
      <w:r w:rsidR="003815DB">
        <w:rPr>
          <w:rStyle w:val="CETBodytextCarattere"/>
          <w:rFonts w:eastAsia="Calibri"/>
        </w:rPr>
        <w:t xml:space="preserve"> </w:t>
      </w:r>
      <w:r w:rsidRPr="003B12F4">
        <w:rPr>
          <w:rStyle w:val="CETBodytextCarattere"/>
          <w:rFonts w:eastAsia="Calibri"/>
        </w:rPr>
        <w:t>°C for 3-4 days, respectively. The results were expressed in Log CFU/cm2 considering the average surface of 5 cherry tomatoes</w:t>
      </w:r>
      <w:r w:rsidRPr="7DC12D87">
        <w:rPr>
          <w:rFonts w:ascii="Calibri" w:eastAsia="Calibri" w:hAnsi="Calibri" w:cs="Calibri"/>
          <w:sz w:val="24"/>
          <w:szCs w:val="24"/>
          <w:lang w:val="en-US"/>
        </w:rPr>
        <w:t>.</w:t>
      </w:r>
    </w:p>
    <w:p w14:paraId="3150152A" w14:textId="26F93B33" w:rsidR="003A006A" w:rsidRDefault="003A006A" w:rsidP="003A006A">
      <w:pPr>
        <w:pStyle w:val="CETheadingx"/>
        <w:rPr>
          <w:rFonts w:eastAsia="Calibri"/>
        </w:rPr>
      </w:pPr>
      <w:r>
        <w:rPr>
          <w:rFonts w:eastAsia="Calibri"/>
        </w:rPr>
        <w:t>Data analysis</w:t>
      </w:r>
    </w:p>
    <w:p w14:paraId="78AB28DE" w14:textId="01139AB4" w:rsidR="00375F9D" w:rsidRDefault="00CF323F" w:rsidP="00CF323F">
      <w:pPr>
        <w:pStyle w:val="CETBodytext"/>
      </w:pPr>
      <w:r>
        <w:t xml:space="preserve">The effect of coating on respiration rate and the effect of storage time and process on quality indices of tomatoes has been analyzed by ANOVA </w:t>
      </w:r>
      <w:r w:rsidR="00B12F11">
        <w:t xml:space="preserve">by </w:t>
      </w:r>
      <w:r>
        <w:t>using</w:t>
      </w:r>
      <w:r w:rsidR="00B12F11">
        <w:t xml:space="preserve"> SPSS v17.0 for Windows (SPSS, Milan, Italy). Duncan’s test </w:t>
      </w:r>
      <w:r>
        <w:t xml:space="preserve">and t-test </w:t>
      </w:r>
      <w:r w:rsidR="00B12F11">
        <w:t>was carried out to</w:t>
      </w:r>
      <w:r w:rsidRPr="00CF323F">
        <w:t xml:space="preserve"> find the source of the significant</w:t>
      </w:r>
      <w:r w:rsidRPr="00CF323F">
        <w:t xml:space="preserve"> </w:t>
      </w:r>
      <w:r>
        <w:t xml:space="preserve">differences within samples </w:t>
      </w:r>
      <w:r w:rsidR="00B12F11">
        <w:t xml:space="preserve">(p&lt;0.05). </w:t>
      </w:r>
      <w:r w:rsidR="00375F9D">
        <w:t>Results and discussions</w:t>
      </w:r>
    </w:p>
    <w:p w14:paraId="129DB66C" w14:textId="77777777" w:rsidR="00CF323F" w:rsidRDefault="00CF323F" w:rsidP="00CF323F">
      <w:pPr>
        <w:pStyle w:val="CETHeading1"/>
      </w:pPr>
      <w:r>
        <w:t xml:space="preserve">Results </w:t>
      </w:r>
    </w:p>
    <w:p w14:paraId="061896F6" w14:textId="3C8D4505" w:rsidR="00375F9D" w:rsidRDefault="00375F9D" w:rsidP="00CF323F">
      <w:pPr>
        <w:pStyle w:val="CETheadingx"/>
      </w:pPr>
      <w:r>
        <w:t>Respiration rate measurements</w:t>
      </w:r>
    </w:p>
    <w:p w14:paraId="61C4D86D" w14:textId="6747E967" w:rsidR="00904418" w:rsidRPr="003B12F4" w:rsidRDefault="002F6A81" w:rsidP="003B12F4">
      <w:pPr>
        <w:pStyle w:val="CETBodytext"/>
        <w:rPr>
          <w:lang w:val="en-GB"/>
        </w:rPr>
      </w:pPr>
      <w:r w:rsidRPr="003B12F4">
        <w:rPr>
          <w:lang w:val="en-GB"/>
        </w:rPr>
        <w:t>In figure 1A is reported the RRO</w:t>
      </w:r>
      <w:r w:rsidRPr="003B12F4">
        <w:rPr>
          <w:vertAlign w:val="subscript"/>
          <w:lang w:val="en-GB"/>
        </w:rPr>
        <w:t>2</w:t>
      </w:r>
      <w:r w:rsidRPr="003B12F4">
        <w:rPr>
          <w:lang w:val="en-GB"/>
        </w:rPr>
        <w:t xml:space="preserve"> of cher</w:t>
      </w:r>
      <w:r>
        <w:rPr>
          <w:lang w:val="en-GB"/>
        </w:rPr>
        <w:t>ry tomato</w:t>
      </w:r>
      <w:r w:rsidR="00016320">
        <w:rPr>
          <w:lang w:val="en-GB"/>
        </w:rPr>
        <w:t>es</w:t>
      </w:r>
      <w:r>
        <w:rPr>
          <w:lang w:val="en-GB"/>
        </w:rPr>
        <w:t xml:space="preserve"> at </w:t>
      </w:r>
      <w:r w:rsidRPr="003B12F4">
        <w:rPr>
          <w:lang w:val="en-GB"/>
        </w:rPr>
        <w:t>5</w:t>
      </w:r>
      <w:r w:rsidR="003815DB">
        <w:rPr>
          <w:lang w:val="en-GB"/>
        </w:rPr>
        <w:t xml:space="preserve"> </w:t>
      </w:r>
      <w:r w:rsidRPr="003B12F4">
        <w:rPr>
          <w:lang w:val="en-GB"/>
        </w:rPr>
        <w:t>°C,10 °C, 15</w:t>
      </w:r>
      <w:r w:rsidR="003815DB">
        <w:rPr>
          <w:lang w:val="en-GB"/>
        </w:rPr>
        <w:t xml:space="preserve"> </w:t>
      </w:r>
      <w:r w:rsidRPr="003B12F4">
        <w:rPr>
          <w:lang w:val="en-GB"/>
        </w:rPr>
        <w:t>°C, 20°</w:t>
      </w:r>
      <w:r w:rsidR="003815DB">
        <w:rPr>
          <w:lang w:val="en-GB"/>
        </w:rPr>
        <w:t xml:space="preserve"> </w:t>
      </w:r>
      <w:r w:rsidRPr="003B12F4">
        <w:rPr>
          <w:lang w:val="en-GB"/>
        </w:rPr>
        <w:t>C e 25</w:t>
      </w:r>
      <w:r w:rsidR="003815DB">
        <w:rPr>
          <w:lang w:val="en-GB"/>
        </w:rPr>
        <w:t xml:space="preserve"> </w:t>
      </w:r>
      <w:r w:rsidRPr="003B12F4">
        <w:rPr>
          <w:lang w:val="en-GB"/>
        </w:rPr>
        <w:t>°C in a</w:t>
      </w:r>
      <w:r>
        <w:rPr>
          <w:lang w:val="en-GB"/>
        </w:rPr>
        <w:t>ir.</w:t>
      </w:r>
    </w:p>
    <w:p w14:paraId="3FA2A107" w14:textId="7ECDE94A" w:rsidR="004C1B6D" w:rsidRPr="004C1B6D" w:rsidRDefault="00F14770" w:rsidP="003B12F4">
      <w:pPr>
        <w:pStyle w:val="CETBodytext"/>
      </w:pPr>
      <w:r>
        <w:rPr>
          <w:noProof/>
        </w:rPr>
        <w:drawing>
          <wp:inline distT="0" distB="0" distL="0" distR="0" wp14:anchorId="098FF3C3" wp14:editId="039DFDF9">
            <wp:extent cx="1836000" cy="1836000"/>
            <wp:effectExtent l="0" t="0" r="0" b="0"/>
            <wp:docPr id="41" name="Grafico 41">
              <a:extLst xmlns:a="http://schemas.openxmlformats.org/drawingml/2006/main">
                <a:ext uri="{FF2B5EF4-FFF2-40B4-BE49-F238E27FC236}">
                  <a16:creationId xmlns:a16="http://schemas.microsoft.com/office/drawing/2014/main" id="{219B2DA9-E635-48F4-B1C6-ABD7748F6B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424E6">
        <w:rPr>
          <w:noProof/>
        </w:rPr>
        <w:drawing>
          <wp:inline distT="0" distB="0" distL="0" distR="0" wp14:anchorId="21D06BED" wp14:editId="062DCC6C">
            <wp:extent cx="1836000" cy="1836000"/>
            <wp:effectExtent l="0" t="0" r="0" b="0"/>
            <wp:docPr id="11" name="Grafico 11">
              <a:extLst xmlns:a="http://schemas.openxmlformats.org/drawingml/2006/main">
                <a:ext uri="{FF2B5EF4-FFF2-40B4-BE49-F238E27FC236}">
                  <a16:creationId xmlns:a16="http://schemas.microsoft.com/office/drawing/2014/main" id="{C2DF6FD9-7B6A-4A23-AEB5-4FD33C6040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B90441">
        <w:rPr>
          <w:noProof/>
        </w:rPr>
        <w:drawing>
          <wp:inline distT="0" distB="0" distL="0" distR="0" wp14:anchorId="618ABB99" wp14:editId="136794BE">
            <wp:extent cx="1836000" cy="1836000"/>
            <wp:effectExtent l="0" t="0" r="0" b="0"/>
            <wp:docPr id="9" name="Grafico 9">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32FDE5" w14:textId="71CBCB15" w:rsidR="00E35295" w:rsidRPr="003B12F4" w:rsidRDefault="00D4255E" w:rsidP="003B12F4">
      <w:pPr>
        <w:pStyle w:val="CETBodytext"/>
        <w:rPr>
          <w:szCs w:val="18"/>
          <w:lang w:val="en-GB"/>
        </w:rPr>
      </w:pPr>
      <w:r w:rsidRPr="003B12F4">
        <w:rPr>
          <w:lang w:val="en-GB"/>
        </w:rPr>
        <w:t xml:space="preserve">Figure 1: respiration rate </w:t>
      </w:r>
      <w:r w:rsidR="00C139D7" w:rsidRPr="003B12F4">
        <w:rPr>
          <w:lang w:val="en-GB"/>
        </w:rPr>
        <w:t>expressed as RRO</w:t>
      </w:r>
      <w:r w:rsidR="00C139D7" w:rsidRPr="003B12F4">
        <w:rPr>
          <w:vertAlign w:val="subscript"/>
          <w:lang w:val="en-GB"/>
        </w:rPr>
        <w:t>2</w:t>
      </w:r>
      <w:r w:rsidR="00C139D7">
        <w:rPr>
          <w:vertAlign w:val="subscript"/>
          <w:lang w:val="en-GB"/>
        </w:rPr>
        <w:t xml:space="preserve"> </w:t>
      </w:r>
      <w:r w:rsidR="00121C68">
        <w:rPr>
          <w:lang w:val="en-GB"/>
        </w:rPr>
        <w:t xml:space="preserve">of </w:t>
      </w:r>
      <w:r w:rsidR="00ED1B63">
        <w:rPr>
          <w:lang w:val="en-GB"/>
        </w:rPr>
        <w:t xml:space="preserve">minimally processed </w:t>
      </w:r>
      <w:r w:rsidR="00121C68">
        <w:rPr>
          <w:lang w:val="en-GB"/>
        </w:rPr>
        <w:t>cherry tomato as func</w:t>
      </w:r>
      <w:r w:rsidR="001F7CC4">
        <w:rPr>
          <w:lang w:val="en-GB"/>
        </w:rPr>
        <w:t>tion of temperature (A)</w:t>
      </w:r>
      <w:r w:rsidR="00A857D9">
        <w:rPr>
          <w:lang w:val="en-GB"/>
        </w:rPr>
        <w:t xml:space="preserve">, </w:t>
      </w:r>
      <w:r w:rsidR="00C65FDA">
        <w:rPr>
          <w:lang w:val="en-GB"/>
        </w:rPr>
        <w:t>at 20</w:t>
      </w:r>
      <w:r w:rsidR="003815DB">
        <w:rPr>
          <w:lang w:val="en-GB"/>
        </w:rPr>
        <w:t xml:space="preserve"> </w:t>
      </w:r>
      <w:r w:rsidR="00C65FDA">
        <w:rPr>
          <w:lang w:val="en-GB"/>
        </w:rPr>
        <w:t xml:space="preserve">°C in air of uncoated </w:t>
      </w:r>
      <w:r w:rsidR="00A36C3E" w:rsidRPr="003C6024">
        <w:rPr>
          <w:sz w:val="22"/>
          <w:szCs w:val="22"/>
        </w:rPr>
        <w:t>(</w:t>
      </w:r>
      <w:bookmarkStart w:id="0" w:name="_Hlk26173357"/>
      <w:r w:rsidR="00A36C3E" w:rsidRPr="003B12F4">
        <w:rPr>
          <w:color w:val="404040" w:themeColor="text1" w:themeTint="BF"/>
          <w:sz w:val="22"/>
          <w:szCs w:val="22"/>
        </w:rPr>
        <w:t>■</w:t>
      </w:r>
      <w:bookmarkEnd w:id="0"/>
      <w:r w:rsidR="00A36C3E" w:rsidRPr="003C6024">
        <w:rPr>
          <w:sz w:val="22"/>
          <w:szCs w:val="22"/>
        </w:rPr>
        <w:t>)</w:t>
      </w:r>
      <w:r w:rsidR="00A36C3E">
        <w:rPr>
          <w:sz w:val="22"/>
          <w:szCs w:val="22"/>
        </w:rPr>
        <w:t xml:space="preserve"> </w:t>
      </w:r>
      <w:r w:rsidR="00A36C3E">
        <w:rPr>
          <w:szCs w:val="18"/>
        </w:rPr>
        <w:t xml:space="preserve">and coated </w:t>
      </w:r>
      <w:r w:rsidR="00491623" w:rsidRPr="003C6024">
        <w:rPr>
          <w:sz w:val="22"/>
          <w:szCs w:val="22"/>
        </w:rPr>
        <w:t>(</w:t>
      </w:r>
      <w:bookmarkStart w:id="1" w:name="_Hlk26173402"/>
      <w:r w:rsidR="00491623" w:rsidRPr="003C6024">
        <w:rPr>
          <w:color w:val="A6A6A6" w:themeColor="background1" w:themeShade="A6"/>
          <w:sz w:val="22"/>
          <w:szCs w:val="22"/>
        </w:rPr>
        <w:t>■</w:t>
      </w:r>
      <w:bookmarkEnd w:id="1"/>
      <w:r w:rsidR="00491623" w:rsidRPr="003C6024">
        <w:rPr>
          <w:sz w:val="22"/>
          <w:szCs w:val="22"/>
        </w:rPr>
        <w:t>)</w:t>
      </w:r>
      <w:r w:rsidR="0077193F">
        <w:rPr>
          <w:sz w:val="22"/>
          <w:szCs w:val="22"/>
        </w:rPr>
        <w:t xml:space="preserve"> </w:t>
      </w:r>
      <w:r w:rsidR="0077193F">
        <w:rPr>
          <w:szCs w:val="18"/>
        </w:rPr>
        <w:t>with SC/CH blend</w:t>
      </w:r>
      <w:r w:rsidR="00912D16">
        <w:rPr>
          <w:szCs w:val="18"/>
        </w:rPr>
        <w:t xml:space="preserve"> (B)</w:t>
      </w:r>
      <w:r w:rsidR="00A857D9">
        <w:rPr>
          <w:szCs w:val="18"/>
        </w:rPr>
        <w:t xml:space="preserve"> and </w:t>
      </w:r>
      <w:r w:rsidR="00BC4AF6">
        <w:rPr>
          <w:szCs w:val="18"/>
        </w:rPr>
        <w:t>at 20</w:t>
      </w:r>
      <w:r w:rsidR="003815DB">
        <w:rPr>
          <w:szCs w:val="18"/>
        </w:rPr>
        <w:t xml:space="preserve"> </w:t>
      </w:r>
      <w:r w:rsidR="00BC4AF6">
        <w:rPr>
          <w:szCs w:val="18"/>
        </w:rPr>
        <w:t>°C in air of uncoated and coated with SC/GG blend at different GG concentration (0.2</w:t>
      </w:r>
      <w:r w:rsidR="003815DB">
        <w:rPr>
          <w:szCs w:val="18"/>
        </w:rPr>
        <w:t xml:space="preserve"> </w:t>
      </w:r>
      <w:r w:rsidR="00BC4AF6">
        <w:rPr>
          <w:szCs w:val="18"/>
        </w:rPr>
        <w:t>%, 0.3</w:t>
      </w:r>
      <w:r w:rsidR="003815DB">
        <w:rPr>
          <w:szCs w:val="18"/>
        </w:rPr>
        <w:t xml:space="preserve"> </w:t>
      </w:r>
      <w:r w:rsidR="00BC4AF6">
        <w:rPr>
          <w:szCs w:val="18"/>
        </w:rPr>
        <w:t>% and 0.4</w:t>
      </w:r>
      <w:r w:rsidR="003815DB">
        <w:rPr>
          <w:szCs w:val="18"/>
        </w:rPr>
        <w:t xml:space="preserve"> </w:t>
      </w:r>
      <w:r w:rsidR="00BC4AF6">
        <w:rPr>
          <w:szCs w:val="18"/>
        </w:rPr>
        <w:t>%)</w:t>
      </w:r>
      <w:r w:rsidR="00443E55">
        <w:rPr>
          <w:szCs w:val="18"/>
        </w:rPr>
        <w:t xml:space="preserve"> (C).</w:t>
      </w:r>
    </w:p>
    <w:p w14:paraId="0B757774" w14:textId="77777777" w:rsidR="00004BE5" w:rsidRPr="003B12F4" w:rsidRDefault="00004BE5" w:rsidP="003B12F4">
      <w:pPr>
        <w:pStyle w:val="CETBodytext"/>
        <w:rPr>
          <w:lang w:val="en-GB"/>
        </w:rPr>
      </w:pPr>
    </w:p>
    <w:p w14:paraId="44472A65" w14:textId="475F22A3" w:rsidR="006E28A3" w:rsidRDefault="0077193F" w:rsidP="006E28A3">
      <w:r>
        <w:t xml:space="preserve">In Figure 1B </w:t>
      </w:r>
      <w:r w:rsidR="008417CA">
        <w:t>the effect of SC/CH coating</w:t>
      </w:r>
      <w:r w:rsidR="00B30CFC">
        <w:t xml:space="preserve"> on</w:t>
      </w:r>
      <w:r w:rsidR="008417CA">
        <w:t xml:space="preserve"> </w:t>
      </w:r>
      <w:r>
        <w:t xml:space="preserve">the </w:t>
      </w:r>
      <w:r w:rsidR="00615ECB" w:rsidRPr="009471B8">
        <w:t>RRO</w:t>
      </w:r>
      <w:r w:rsidR="00615ECB" w:rsidRPr="00F3249F">
        <w:rPr>
          <w:vertAlign w:val="subscript"/>
        </w:rPr>
        <w:t>2</w:t>
      </w:r>
      <w:r w:rsidR="00615ECB">
        <w:rPr>
          <w:vertAlign w:val="subscript"/>
        </w:rPr>
        <w:t xml:space="preserve"> </w:t>
      </w:r>
      <w:r w:rsidR="00423377">
        <w:t xml:space="preserve">and </w:t>
      </w:r>
      <w:r w:rsidR="00423377" w:rsidRPr="009471B8">
        <w:t>RR</w:t>
      </w:r>
      <w:r w:rsidR="00423377">
        <w:t>C</w:t>
      </w:r>
      <w:r w:rsidR="00423377" w:rsidRPr="009471B8">
        <w:t>O</w:t>
      </w:r>
      <w:r w:rsidR="00423377" w:rsidRPr="00F3249F">
        <w:rPr>
          <w:vertAlign w:val="subscript"/>
        </w:rPr>
        <w:t>2</w:t>
      </w:r>
      <w:r w:rsidR="00423377">
        <w:rPr>
          <w:vertAlign w:val="subscript"/>
        </w:rPr>
        <w:t xml:space="preserve"> </w:t>
      </w:r>
      <w:r w:rsidR="00B30CFC">
        <w:t xml:space="preserve">of minimally cherry tomato is reported. The coating did not affect </w:t>
      </w:r>
      <w:r w:rsidR="00794AA5">
        <w:t xml:space="preserve">both </w:t>
      </w:r>
      <w:r w:rsidR="00794AA5" w:rsidRPr="009471B8">
        <w:t>RRO</w:t>
      </w:r>
      <w:r w:rsidR="00794AA5" w:rsidRPr="00F3249F">
        <w:rPr>
          <w:vertAlign w:val="subscript"/>
        </w:rPr>
        <w:t>2</w:t>
      </w:r>
      <w:r w:rsidR="00794AA5">
        <w:rPr>
          <w:vertAlign w:val="subscript"/>
        </w:rPr>
        <w:t xml:space="preserve"> </w:t>
      </w:r>
      <w:r w:rsidR="00794AA5">
        <w:t xml:space="preserve">and </w:t>
      </w:r>
      <w:r w:rsidR="00794AA5" w:rsidRPr="009471B8">
        <w:t>RR</w:t>
      </w:r>
      <w:r w:rsidR="00794AA5">
        <w:t>C</w:t>
      </w:r>
      <w:r w:rsidR="00794AA5" w:rsidRPr="009471B8">
        <w:t>O</w:t>
      </w:r>
      <w:r w:rsidR="00794AA5" w:rsidRPr="00F3249F">
        <w:rPr>
          <w:vertAlign w:val="subscript"/>
        </w:rPr>
        <w:t>2</w:t>
      </w:r>
      <w:r w:rsidR="006B3AC7">
        <w:t>. These results are no</w:t>
      </w:r>
      <w:r w:rsidR="00FC5848">
        <w:t>t</w:t>
      </w:r>
      <w:r w:rsidR="006B3AC7">
        <w:t xml:space="preserve"> in agreement to </w:t>
      </w:r>
      <w:r w:rsidR="00BB0DCA">
        <w:fldChar w:fldCharType="begin" w:fldLock="1"/>
      </w:r>
      <w:r w:rsidR="005D5B6B">
        <w:instrText>ADDIN CSL_CITATION {"citationItems":[{"id":"ITEM-1","itemData":{"abstract":"© 2018 Chiriotti Editori. All rights reserved. The effect of biopolymer coatings (1% chitosan, 2% chitosan, caseinate/chitosan blend at ratio 2/1) in combination with anti-browning agent (1% citric acid, 1% l-ascorbic acid agents, 1% CaCl2) on the shelf life of minimally processed apples was studied. The experimental works were divided in two phases: in the first phase, the coating composition has been selected on the bases of microstructural analysis of the coatings on the fruit surface (SEM), respiration rate, water resistance, and color. In the second phase of the study, the shelf life of packed minimally processed apples coated with the selected coating was studied during storage at 5°C. The uncoated sample dipped in anti-browning solution was used as control. The following quality attributes were monitored after 1, 3, 7, 11 and 14 days: pH, hardness, relative humidity (RH %) and color. All coatings effectively reduced respiration rate of minimally processed apples but only caseinate/chitosan one was not significantly different from the control sample in terms of color attributes (p&lt;0.05). Shelf life study showed that the chitosan-caseinate coating was able to extend the product shelf life from 7 days to 11 days at 5°C.","author":[{"dropping-particle":"","family":"Volpe","given":"S.","non-dropping-particle":"","parse-names":false,"suffix":""},{"dropping-particle":"","family":"Torrieri","given":"E.","non-dropping-particle":"","parse-names":false,"suffix":""},{"dropping-particle":"","family":"Cavella","given":"S.","non-dropping-particle":"","parse-names":false,"suffix":""}],"container-title":"Italian Journal of Food Science","id":"ITEM-1","issue":"5","issued":{"date-parts":[["2018"]]},"page":"30-35","title":"Use of chitosan and chitosan-caseinate coating to prolong shelf life of minimally processed apples","type":"article-journal","volume":"30"},"uris":["http://www.mendeley.com/documents/?uuid=13857bb0-fe5d-3a8c-b8c2-ab402a790e19"]}],"mendeley":{"formattedCitation":"(Volpe et al., 2018)","manualFormatting":"(Volpe et al., 2017)","plainTextFormattedCitation":"(Volpe et al., 2018)","previouslyFormattedCitation":"(S. Volpe et al., 2018)"},"properties":{"noteIndex":0},"schema":"https://github.com/citation-style-language/schema/raw/master/csl-citation.json"}</w:instrText>
      </w:r>
      <w:r w:rsidR="00BB0DCA">
        <w:fldChar w:fldCharType="separate"/>
      </w:r>
      <w:r w:rsidR="00BB0DCA" w:rsidRPr="00BB0DCA">
        <w:rPr>
          <w:noProof/>
        </w:rPr>
        <w:t>(Volpe et al., 201</w:t>
      </w:r>
      <w:r w:rsidR="00BB0DCA">
        <w:rPr>
          <w:noProof/>
        </w:rPr>
        <w:t>7</w:t>
      </w:r>
      <w:r w:rsidR="00BB0DCA" w:rsidRPr="00BB0DCA">
        <w:rPr>
          <w:noProof/>
        </w:rPr>
        <w:t>)</w:t>
      </w:r>
      <w:r w:rsidR="00BB0DCA">
        <w:fldChar w:fldCharType="end"/>
      </w:r>
      <w:r w:rsidR="00BB0DCA">
        <w:t xml:space="preserve"> who found that</w:t>
      </w:r>
      <w:r w:rsidR="006E2C52">
        <w:t xml:space="preserve"> SC/CH coating was able to reduce of about 50% the respiration rate of minimally processed apples. </w:t>
      </w:r>
      <w:r w:rsidR="005D2D59">
        <w:t xml:space="preserve">Since the </w:t>
      </w:r>
      <w:r w:rsidR="00F15672">
        <w:t xml:space="preserve">SC/CH </w:t>
      </w:r>
      <w:r w:rsidR="000E5844">
        <w:t>did not affect the RR</w:t>
      </w:r>
      <w:r w:rsidR="000E5844" w:rsidRPr="009471B8">
        <w:t>O</w:t>
      </w:r>
      <w:r w:rsidR="000E5844" w:rsidRPr="00F3249F">
        <w:rPr>
          <w:vertAlign w:val="subscript"/>
        </w:rPr>
        <w:t>2</w:t>
      </w:r>
      <w:r w:rsidR="000E5844">
        <w:t xml:space="preserve">, </w:t>
      </w:r>
      <w:r w:rsidR="0099626C">
        <w:t>SC was blended with GG in different concentrations.</w:t>
      </w:r>
      <w:r w:rsidR="0007283B">
        <w:t xml:space="preserve"> </w:t>
      </w:r>
      <w:r w:rsidR="00C26953">
        <w:rPr>
          <w:rFonts w:cstheme="minorHAnsi"/>
        </w:rPr>
        <w:t xml:space="preserve">The addition of only GG to sodium caseinate, led to a reduction of about </w:t>
      </w:r>
      <w:r w:rsidR="00B313C7">
        <w:rPr>
          <w:rFonts w:cstheme="minorHAnsi"/>
        </w:rPr>
        <w:t>37</w:t>
      </w:r>
      <w:r w:rsidR="003815DB">
        <w:rPr>
          <w:rFonts w:cstheme="minorHAnsi"/>
        </w:rPr>
        <w:t xml:space="preserve"> </w:t>
      </w:r>
      <w:r w:rsidR="00C26953">
        <w:rPr>
          <w:rFonts w:cstheme="minorHAnsi"/>
        </w:rPr>
        <w:t>% in terms of RRO</w:t>
      </w:r>
      <w:r w:rsidR="00C26953" w:rsidRPr="00BE3042">
        <w:rPr>
          <w:rFonts w:cstheme="minorHAnsi"/>
          <w:vertAlign w:val="subscript"/>
        </w:rPr>
        <w:t>2</w:t>
      </w:r>
      <w:r w:rsidR="00C26953">
        <w:rPr>
          <w:rFonts w:cstheme="minorHAnsi"/>
        </w:rPr>
        <w:t xml:space="preserve"> of MP cherry </w:t>
      </w:r>
      <w:r w:rsidR="003032FE">
        <w:rPr>
          <w:rFonts w:cstheme="minorHAnsi"/>
        </w:rPr>
        <w:t>tomato</w:t>
      </w:r>
      <w:r w:rsidR="00C26953">
        <w:rPr>
          <w:rFonts w:cstheme="minorHAnsi"/>
        </w:rPr>
        <w:t xml:space="preserve"> compared to the uncoated sample, as shown in the figure 1C</w:t>
      </w:r>
      <w:r w:rsidR="00CC29D6">
        <w:rPr>
          <w:rFonts w:cstheme="minorHAnsi"/>
        </w:rPr>
        <w:t>.</w:t>
      </w:r>
      <w:r w:rsidR="003032FE">
        <w:rPr>
          <w:rFonts w:cstheme="minorHAnsi"/>
        </w:rPr>
        <w:t xml:space="preserve"> </w:t>
      </w:r>
      <w:r w:rsidR="00027F97">
        <w:t>T</w:t>
      </w:r>
      <w:r w:rsidR="003032FE">
        <w:t xml:space="preserve">he concentrations of </w:t>
      </w:r>
      <w:r w:rsidR="00027F97">
        <w:t>GG</w:t>
      </w:r>
      <w:r w:rsidR="003032FE">
        <w:t xml:space="preserve"> did not affect the reduction of respiration rate. Even if the coating was successfully applied on tomatoes, after dried the coating, the product surface resulted sticky. Thus, </w:t>
      </w:r>
      <w:r w:rsidR="00027F97">
        <w:t>was necessary to optimize this formulation</w:t>
      </w:r>
      <w:r w:rsidR="00A06262">
        <w:t xml:space="preserve">; </w:t>
      </w:r>
      <w:r w:rsidR="002316F0">
        <w:t xml:space="preserve">SC was blended with </w:t>
      </w:r>
      <w:r w:rsidR="006502D8">
        <w:t xml:space="preserve">GG and BW as reported by </w:t>
      </w:r>
      <w:r w:rsidR="006502D8">
        <w:fldChar w:fldCharType="begin" w:fldLock="1"/>
      </w:r>
      <w:r w:rsidR="005D5B6B">
        <w:instrText>ADDIN CSL_CITATION {"citationItems":[{"id":"ITEM-1","itemData":{"DOI":"10.1016/j.jfoodeng.2022.111123","ISSN":"0260-8774","author":[{"dropping-particle":"","family":"Miele","given":"Nicoletta Antonella","non-dropping-particle":"","parse-names":false,"suffix":""},{"dropping-particle":"","family":"Volpe","given":"Stefania","non-dropping-particle":"","parse-names":false,"suffix":""},{"dropping-particle":"","family":"Torrieri","given":"Elena","non-dropping-particle":"","parse-names":false,"suffix":""},{"dropping-particle":"","family":"Cavella","given":"Silvana","non-dropping-particle":"","parse-names":false,"suffix":""}],"container-title":"Journal of Food Engineering","id":"ITEM-1","issue":"May","issued":{"date-parts":[["2022"]]},"page":"111123","publisher":"Elsevier Ltd","title":"Improving physical properties of sodium caseinate based coating with the optimal formulation : Effect on strawberries ’ respiration and transpiration rates","type":"article-journal","volume":"331"},"uris":["http://www.mendeley.com/documents/?uuid=c9bd0626-14b0-4bb6-bf0d-cd4a38c35195"]}],"mendeley":{"formattedCitation":"(Miele et al., 2022)","plainTextFormattedCitation":"(Miele et al., 2022)","previouslyFormattedCitation":"(Miele et al., 2022)"},"properties":{"noteIndex":0},"schema":"https://github.com/citation-style-language/schema/raw/master/csl-citation.json"}</w:instrText>
      </w:r>
      <w:r w:rsidR="006502D8">
        <w:fldChar w:fldCharType="separate"/>
      </w:r>
      <w:r w:rsidR="006502D8" w:rsidRPr="006502D8">
        <w:rPr>
          <w:noProof/>
        </w:rPr>
        <w:t>(Miele et al., 2022)</w:t>
      </w:r>
      <w:r w:rsidR="006502D8">
        <w:fldChar w:fldCharType="end"/>
      </w:r>
      <w:r w:rsidR="006502D8">
        <w:t xml:space="preserve"> and applied on tomato. </w:t>
      </w:r>
      <w:r w:rsidR="00670C9E">
        <w:t>Authors reported the effectiveness of the optimized coating in re</w:t>
      </w:r>
      <w:r w:rsidR="00545A3D">
        <w:t xml:space="preserve">ducing the </w:t>
      </w:r>
      <w:r w:rsidR="006502D8">
        <w:t xml:space="preserve">respiration rate </w:t>
      </w:r>
      <w:r w:rsidR="00545A3D">
        <w:t>of strawberries of 17</w:t>
      </w:r>
      <w:r w:rsidR="003815DB">
        <w:t xml:space="preserve"> </w:t>
      </w:r>
      <w:r w:rsidR="00545A3D">
        <w:t>%</w:t>
      </w:r>
      <w:r w:rsidR="00EF3E00">
        <w:t xml:space="preserve"> </w:t>
      </w:r>
      <w:r w:rsidR="008C31CA">
        <w:t xml:space="preserve">compared to the uncoated one. </w:t>
      </w:r>
      <w:r w:rsidR="00A9019D">
        <w:t xml:space="preserve">In </w:t>
      </w:r>
      <w:r w:rsidR="00D457E6">
        <w:t xml:space="preserve">our study, the optimized coating led to a reduction in </w:t>
      </w:r>
      <w:r w:rsidR="00D457E6" w:rsidRPr="009471B8">
        <w:t>RRO</w:t>
      </w:r>
      <w:r w:rsidR="00D457E6" w:rsidRPr="00F3249F">
        <w:rPr>
          <w:vertAlign w:val="subscript"/>
        </w:rPr>
        <w:t>2</w:t>
      </w:r>
      <w:r w:rsidR="00D457E6">
        <w:rPr>
          <w:vertAlign w:val="subscript"/>
        </w:rPr>
        <w:t xml:space="preserve"> </w:t>
      </w:r>
      <w:r w:rsidR="00D457E6">
        <w:t>of MP cherry tomato of 32</w:t>
      </w:r>
      <w:r w:rsidR="003815DB">
        <w:t xml:space="preserve"> </w:t>
      </w:r>
      <w:r w:rsidR="00D457E6">
        <w:t>% compared to the control</w:t>
      </w:r>
      <w:r w:rsidR="006502D8">
        <w:t xml:space="preserve"> at </w:t>
      </w:r>
      <w:r w:rsidR="00670C9E">
        <w:t>2</w:t>
      </w:r>
      <w:r w:rsidR="006502D8">
        <w:t>0</w:t>
      </w:r>
      <w:r w:rsidR="003815DB">
        <w:t xml:space="preserve"> </w:t>
      </w:r>
      <w:r w:rsidR="006502D8">
        <w:t>°C (data not show</w:t>
      </w:r>
      <w:r w:rsidR="0046425E">
        <w:t>n</w:t>
      </w:r>
      <w:r w:rsidR="006502D8">
        <w:t>)</w:t>
      </w:r>
      <w:r w:rsidR="00D457E6">
        <w:t xml:space="preserve">. </w:t>
      </w:r>
      <w:r w:rsidR="008871FE">
        <w:t xml:space="preserve">SC/GG/BW </w:t>
      </w:r>
      <w:r w:rsidR="007F7B2E">
        <w:t xml:space="preserve">well adhered to </w:t>
      </w:r>
      <w:r w:rsidR="00AC18E8">
        <w:t xml:space="preserve">the product surface, without any </w:t>
      </w:r>
      <w:r w:rsidR="00B94440">
        <w:t xml:space="preserve">stickiness and thus </w:t>
      </w:r>
      <w:r w:rsidR="008871FE">
        <w:t>was</w:t>
      </w:r>
      <w:r w:rsidR="00DA6385">
        <w:t xml:space="preserve"> </w:t>
      </w:r>
      <w:r w:rsidR="00C51AAB">
        <w:t xml:space="preserve">used to study the </w:t>
      </w:r>
      <w:r w:rsidR="00825C05">
        <w:t>effect of PAW and coating on MP cherry tomatoes during storage.</w:t>
      </w:r>
    </w:p>
    <w:p w14:paraId="24EFB8DF" w14:textId="77777777" w:rsidR="00100714" w:rsidRDefault="00100714" w:rsidP="006E28A3"/>
    <w:p w14:paraId="5E9DFAD7" w14:textId="76CD4C67" w:rsidR="00100714" w:rsidRDefault="00353CB1" w:rsidP="003A006A">
      <w:pPr>
        <w:pStyle w:val="CETheadingx"/>
      </w:pPr>
      <w:r>
        <w:lastRenderedPageBreak/>
        <w:t>Headspace gas analysis</w:t>
      </w:r>
    </w:p>
    <w:p w14:paraId="70D1AC6A" w14:textId="0F615C35" w:rsidR="00353CB1" w:rsidRPr="00353CB1" w:rsidRDefault="00353CB1" w:rsidP="003B12F4">
      <w:pPr>
        <w:pStyle w:val="CETBodytext"/>
      </w:pPr>
      <w:r>
        <w:t>Figure 2 shows the headspace gas analysis of</w:t>
      </w:r>
      <w:r w:rsidR="004C2A0E">
        <w:t xml:space="preserve"> packaged</w:t>
      </w:r>
      <w:r>
        <w:t xml:space="preserve"> MP cherry tomatoes </w:t>
      </w:r>
      <w:r w:rsidR="00A11240">
        <w:t>treated with PAW and SC/GG/BW</w:t>
      </w:r>
      <w:r w:rsidR="004C2A0E">
        <w:t xml:space="preserve"> and control. </w:t>
      </w:r>
    </w:p>
    <w:p w14:paraId="79984B0B" w14:textId="26B96E75" w:rsidR="00BE78B4" w:rsidRPr="00BE78B4" w:rsidRDefault="00BE78B4" w:rsidP="003B12F4">
      <w:pPr>
        <w:pStyle w:val="CETBodytext"/>
      </w:pPr>
    </w:p>
    <w:p w14:paraId="6C8839D0" w14:textId="1F94AC3D" w:rsidR="00F51867" w:rsidRPr="00F51867" w:rsidRDefault="00C55164" w:rsidP="003B12F4">
      <w:pPr>
        <w:pStyle w:val="CETBodytext"/>
      </w:pPr>
      <w:r>
        <w:rPr>
          <w:noProof/>
        </w:rPr>
        <w:drawing>
          <wp:inline distT="0" distB="0" distL="0" distR="0" wp14:anchorId="25A05DD4" wp14:editId="04DBD59B">
            <wp:extent cx="1980000" cy="1980000"/>
            <wp:effectExtent l="0" t="0" r="1270" b="1270"/>
            <wp:docPr id="12" name="Grafico 12">
              <a:extLst xmlns:a="http://schemas.openxmlformats.org/drawingml/2006/main">
                <a:ext uri="{FF2B5EF4-FFF2-40B4-BE49-F238E27FC236}">
                  <a16:creationId xmlns:a16="http://schemas.microsoft.com/office/drawing/2014/main" id="{9C9F6E1B-BAF1-4AF6-8FDA-8DCF3E991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D03768">
        <w:rPr>
          <w:noProof/>
        </w:rPr>
        <w:drawing>
          <wp:anchor distT="0" distB="0" distL="114300" distR="114300" simplePos="0" relativeHeight="251658240" behindDoc="0" locked="0" layoutInCell="1" allowOverlap="1" wp14:anchorId="7F3DB0ED" wp14:editId="3227FC76">
            <wp:simplePos x="1083013" y="4721157"/>
            <wp:positionH relativeFrom="column">
              <wp:align>left</wp:align>
            </wp:positionH>
            <wp:positionV relativeFrom="paragraph">
              <wp:align>top</wp:align>
            </wp:positionV>
            <wp:extent cx="1980000" cy="1980000"/>
            <wp:effectExtent l="0" t="0" r="1270" b="1270"/>
            <wp:wrapSquare wrapText="bothSides"/>
            <wp:docPr id="10" name="Grafico 10">
              <a:extLst xmlns:a="http://schemas.openxmlformats.org/drawingml/2006/main">
                <a:ext uri="{FF2B5EF4-FFF2-40B4-BE49-F238E27FC236}">
                  <a16:creationId xmlns:a16="http://schemas.microsoft.com/office/drawing/2014/main" id="{5560B3C4-818F-88D3-D16E-BFFA0DA989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D03768">
        <w:br w:type="textWrapping" w:clear="all"/>
      </w:r>
    </w:p>
    <w:p w14:paraId="551328BD" w14:textId="342807CB" w:rsidR="005D1EAB" w:rsidRPr="003B12F4" w:rsidRDefault="00367176" w:rsidP="00583FEC">
      <w:pPr>
        <w:pStyle w:val="CETBodytext"/>
        <w:rPr>
          <w:szCs w:val="18"/>
          <w:lang w:val="en-GB"/>
        </w:rPr>
      </w:pPr>
      <w:r w:rsidRPr="00284C41">
        <w:rPr>
          <w:lang w:val="en-GB"/>
        </w:rPr>
        <w:t xml:space="preserve">Figure </w:t>
      </w:r>
      <w:r>
        <w:rPr>
          <w:lang w:val="en-GB"/>
        </w:rPr>
        <w:t>2</w:t>
      </w:r>
      <w:r w:rsidRPr="00284C41">
        <w:rPr>
          <w:lang w:val="en-GB"/>
        </w:rPr>
        <w:t xml:space="preserve">: </w:t>
      </w:r>
      <w:r w:rsidR="005D1EAB">
        <w:t>Headspace gas composition (O</w:t>
      </w:r>
      <w:r w:rsidR="005D1EAB" w:rsidRPr="00597D22">
        <w:rPr>
          <w:vertAlign w:val="subscript"/>
        </w:rPr>
        <w:t>2</w:t>
      </w:r>
      <w:r w:rsidR="005D1EAB">
        <w:t>%, (A); CO</w:t>
      </w:r>
      <w:r w:rsidR="005D1EAB" w:rsidRPr="00597D22">
        <w:rPr>
          <w:vertAlign w:val="subscript"/>
        </w:rPr>
        <w:t>2</w:t>
      </w:r>
      <w:r w:rsidR="005D1EAB">
        <w:t>%, (B)) of minimally processed cherry tomatoe</w:t>
      </w:r>
      <w:r w:rsidR="00220C68">
        <w:t>s</w:t>
      </w:r>
      <w:r w:rsidR="005D1EAB">
        <w:t xml:space="preserve"> stored at 4 ◦C for 14 days for control (</w:t>
      </w:r>
      <w:r w:rsidR="00597D22" w:rsidRPr="00597D22">
        <w:rPr>
          <w:rFonts w:cs="Arial"/>
          <w:sz w:val="22"/>
          <w:szCs w:val="22"/>
        </w:rPr>
        <w:t>●</w:t>
      </w:r>
      <w:r w:rsidR="00597D22" w:rsidRPr="00220C68">
        <w:rPr>
          <w:rFonts w:cs="Arial"/>
          <w:szCs w:val="18"/>
        </w:rPr>
        <w:t xml:space="preserve">) </w:t>
      </w:r>
      <w:r w:rsidR="00597D22">
        <w:rPr>
          <w:rFonts w:cs="Arial"/>
          <w:szCs w:val="18"/>
        </w:rPr>
        <w:t>and treated samples (</w:t>
      </w:r>
      <w:r w:rsidR="00D25FF6">
        <w:rPr>
          <w:rFonts w:cs="Arial"/>
          <w:szCs w:val="18"/>
        </w:rPr>
        <w:t>Δ).</w:t>
      </w:r>
    </w:p>
    <w:p w14:paraId="21CA3D4B" w14:textId="77777777" w:rsidR="004062E8" w:rsidRDefault="004062E8" w:rsidP="00600535">
      <w:pPr>
        <w:pStyle w:val="CETBodytext"/>
        <w:rPr>
          <w:lang w:val="en-GB"/>
        </w:rPr>
      </w:pPr>
    </w:p>
    <w:p w14:paraId="28AB394B" w14:textId="316C7D37" w:rsidR="004062E8" w:rsidRDefault="004062E8" w:rsidP="00600535">
      <w:pPr>
        <w:pStyle w:val="CETBodytext"/>
        <w:rPr>
          <w:rFonts w:cs="Arial"/>
          <w:lang w:val="en-GB"/>
        </w:rPr>
      </w:pPr>
      <w:r>
        <w:rPr>
          <w:lang w:val="en-GB"/>
        </w:rPr>
        <w:t xml:space="preserve">The oxygen concentration </w:t>
      </w:r>
      <w:r w:rsidR="000B3C41">
        <w:rPr>
          <w:lang w:val="en-GB"/>
        </w:rPr>
        <w:t xml:space="preserve">decreased over time for both samples. After 14 days of storage, </w:t>
      </w:r>
      <w:r w:rsidR="00D522DE">
        <w:rPr>
          <w:lang w:val="en-GB"/>
        </w:rPr>
        <w:t xml:space="preserve">the control samples reached </w:t>
      </w:r>
      <w:r w:rsidR="000B4A61">
        <w:rPr>
          <w:lang w:val="en-GB"/>
        </w:rPr>
        <w:t>4</w:t>
      </w:r>
      <w:r w:rsidR="003815DB">
        <w:rPr>
          <w:lang w:val="en-GB"/>
        </w:rPr>
        <w:t xml:space="preserve"> </w:t>
      </w:r>
      <w:r w:rsidR="000B4A61">
        <w:rPr>
          <w:rFonts w:cs="Arial"/>
          <w:lang w:val="en-GB"/>
        </w:rPr>
        <w:t>±</w:t>
      </w:r>
      <w:r w:rsidR="003815DB">
        <w:rPr>
          <w:rFonts w:cs="Arial"/>
          <w:lang w:val="en-GB"/>
        </w:rPr>
        <w:t xml:space="preserve"> </w:t>
      </w:r>
      <w:r w:rsidR="000B4A61">
        <w:rPr>
          <w:lang w:val="en-GB"/>
        </w:rPr>
        <w:t>1</w:t>
      </w:r>
      <w:r w:rsidR="003815DB">
        <w:rPr>
          <w:lang w:val="en-GB"/>
        </w:rPr>
        <w:t xml:space="preserve"> </w:t>
      </w:r>
      <w:r w:rsidR="000B4A61">
        <w:rPr>
          <w:lang w:val="en-GB"/>
        </w:rPr>
        <w:t>%</w:t>
      </w:r>
      <w:r w:rsidR="0004156A">
        <w:rPr>
          <w:lang w:val="en-GB"/>
        </w:rPr>
        <w:t>, whereas the treated samples reached a value of 11</w:t>
      </w:r>
      <w:r w:rsidR="003815DB">
        <w:rPr>
          <w:lang w:val="en-GB"/>
        </w:rPr>
        <w:t xml:space="preserve"> </w:t>
      </w:r>
      <w:r w:rsidR="0004156A">
        <w:rPr>
          <w:rFonts w:cs="Arial"/>
          <w:lang w:val="en-GB"/>
        </w:rPr>
        <w:t>±</w:t>
      </w:r>
      <w:r w:rsidR="003815DB">
        <w:rPr>
          <w:rFonts w:cs="Arial"/>
          <w:lang w:val="en-GB"/>
        </w:rPr>
        <w:t xml:space="preserve"> </w:t>
      </w:r>
      <w:r w:rsidR="00A6670C">
        <w:rPr>
          <w:rFonts w:cs="Arial"/>
          <w:lang w:val="en-GB"/>
        </w:rPr>
        <w:t>1</w:t>
      </w:r>
      <w:r w:rsidR="003815DB">
        <w:rPr>
          <w:rFonts w:cs="Arial"/>
          <w:lang w:val="en-GB"/>
        </w:rPr>
        <w:t xml:space="preserve"> </w:t>
      </w:r>
      <w:r w:rsidR="00A6670C">
        <w:rPr>
          <w:rFonts w:cs="Arial"/>
          <w:lang w:val="en-GB"/>
        </w:rPr>
        <w:t xml:space="preserve">%. As expected, the </w:t>
      </w:r>
      <w:r w:rsidR="00F81AA2">
        <w:rPr>
          <w:rFonts w:cs="Arial"/>
          <w:lang w:val="en-GB"/>
        </w:rPr>
        <w:t>carbon dioxide concentration increased up to 14 days</w:t>
      </w:r>
      <w:r w:rsidR="00DE5CB4">
        <w:rPr>
          <w:rFonts w:cs="Arial"/>
          <w:lang w:val="en-GB"/>
        </w:rPr>
        <w:t xml:space="preserve"> of storage. </w:t>
      </w:r>
      <w:r w:rsidR="00313DBB">
        <w:rPr>
          <w:rFonts w:cs="Arial"/>
          <w:lang w:val="en-GB"/>
        </w:rPr>
        <w:t>For control sample CO</w:t>
      </w:r>
      <w:r w:rsidR="00313DBB" w:rsidRPr="00F8257D">
        <w:rPr>
          <w:rFonts w:cs="Arial"/>
          <w:vertAlign w:val="subscript"/>
          <w:lang w:val="en-GB"/>
        </w:rPr>
        <w:t>2</w:t>
      </w:r>
      <w:r w:rsidR="00313DBB">
        <w:rPr>
          <w:rFonts w:cs="Arial"/>
          <w:vertAlign w:val="subscript"/>
          <w:lang w:val="en-GB"/>
        </w:rPr>
        <w:t xml:space="preserve"> </w:t>
      </w:r>
      <w:r w:rsidR="00313DBB">
        <w:rPr>
          <w:rFonts w:cs="Arial"/>
          <w:lang w:val="en-GB"/>
        </w:rPr>
        <w:t xml:space="preserve">reached a value of </w:t>
      </w:r>
      <w:r w:rsidR="00EF1C55">
        <w:rPr>
          <w:rFonts w:cs="Arial"/>
          <w:lang w:val="en-GB"/>
        </w:rPr>
        <w:t>7.9</w:t>
      </w:r>
      <w:r w:rsidR="003815DB">
        <w:rPr>
          <w:rFonts w:cs="Arial"/>
          <w:lang w:val="en-GB"/>
        </w:rPr>
        <w:t xml:space="preserve"> </w:t>
      </w:r>
      <w:r w:rsidR="00EF1C55">
        <w:rPr>
          <w:rFonts w:cs="Arial"/>
          <w:lang w:val="en-GB"/>
        </w:rPr>
        <w:t>±</w:t>
      </w:r>
      <w:r w:rsidR="003815DB">
        <w:rPr>
          <w:rFonts w:cs="Arial"/>
          <w:lang w:val="en-GB"/>
        </w:rPr>
        <w:t xml:space="preserve"> </w:t>
      </w:r>
      <w:r w:rsidR="00EF1C55">
        <w:rPr>
          <w:rFonts w:cs="Arial"/>
          <w:lang w:val="en-GB"/>
        </w:rPr>
        <w:t>0.4</w:t>
      </w:r>
      <w:r w:rsidR="003815DB">
        <w:rPr>
          <w:rFonts w:cs="Arial"/>
          <w:lang w:val="en-GB"/>
        </w:rPr>
        <w:t xml:space="preserve"> </w:t>
      </w:r>
      <w:r w:rsidR="00EF1C55">
        <w:rPr>
          <w:rFonts w:cs="Arial"/>
          <w:lang w:val="en-GB"/>
        </w:rPr>
        <w:t>%</w:t>
      </w:r>
      <w:r w:rsidR="007E322C">
        <w:rPr>
          <w:rFonts w:cs="Arial"/>
          <w:lang w:val="en-GB"/>
        </w:rPr>
        <w:t xml:space="preserve"> whereas for treated samples the value was </w:t>
      </w:r>
      <w:r w:rsidR="008707CB">
        <w:rPr>
          <w:rFonts w:cs="Arial"/>
          <w:lang w:val="en-GB"/>
        </w:rPr>
        <w:t>6.9</w:t>
      </w:r>
      <w:r w:rsidR="003815DB">
        <w:rPr>
          <w:rFonts w:cs="Arial"/>
          <w:lang w:val="en-GB"/>
        </w:rPr>
        <w:t xml:space="preserve"> </w:t>
      </w:r>
      <w:r w:rsidR="008707CB">
        <w:rPr>
          <w:rFonts w:cs="Arial"/>
          <w:lang w:val="en-GB"/>
        </w:rPr>
        <w:t>±</w:t>
      </w:r>
      <w:r w:rsidR="003815DB">
        <w:rPr>
          <w:rFonts w:cs="Arial"/>
          <w:lang w:val="en-GB"/>
        </w:rPr>
        <w:t xml:space="preserve"> </w:t>
      </w:r>
      <w:r w:rsidR="008707CB">
        <w:rPr>
          <w:rFonts w:cs="Arial"/>
          <w:lang w:val="en-GB"/>
        </w:rPr>
        <w:t>0.4</w:t>
      </w:r>
      <w:r w:rsidR="003815DB">
        <w:rPr>
          <w:rFonts w:cs="Arial"/>
          <w:lang w:val="en-GB"/>
        </w:rPr>
        <w:t xml:space="preserve"> </w:t>
      </w:r>
      <w:r w:rsidR="008707CB">
        <w:rPr>
          <w:rFonts w:cs="Arial"/>
          <w:lang w:val="en-GB"/>
        </w:rPr>
        <w:t xml:space="preserve">%. </w:t>
      </w:r>
      <w:r w:rsidR="00672306">
        <w:rPr>
          <w:rFonts w:cs="Arial"/>
          <w:lang w:val="en-GB"/>
        </w:rPr>
        <w:t xml:space="preserve">These results are </w:t>
      </w:r>
      <w:r w:rsidR="00ED234F">
        <w:rPr>
          <w:rFonts w:cs="Arial"/>
          <w:lang w:val="en-GB"/>
        </w:rPr>
        <w:t xml:space="preserve">expected considering the reduction in respiration rate </w:t>
      </w:r>
      <w:r w:rsidR="004A5C13">
        <w:rPr>
          <w:rFonts w:cs="Arial"/>
          <w:lang w:val="en-GB"/>
        </w:rPr>
        <w:t xml:space="preserve">due to the presence of the SC/GG/BW coating, as </w:t>
      </w:r>
      <w:r w:rsidR="00FA3CAC">
        <w:rPr>
          <w:rFonts w:cs="Arial"/>
          <w:lang w:val="en-GB"/>
        </w:rPr>
        <w:t>reported in the previous paragraph.</w:t>
      </w:r>
    </w:p>
    <w:p w14:paraId="3C770E0B" w14:textId="4C90009D" w:rsidR="002F5E6A" w:rsidRDefault="002F5E6A" w:rsidP="003A006A">
      <w:pPr>
        <w:pStyle w:val="CETheadingx"/>
      </w:pPr>
      <w:proofErr w:type="spellStart"/>
      <w:r>
        <w:t>Chemico</w:t>
      </w:r>
      <w:proofErr w:type="spellEnd"/>
      <w:r>
        <w:t>-physical properties</w:t>
      </w:r>
    </w:p>
    <w:p w14:paraId="3F6ADF3A" w14:textId="1B4DBB1D" w:rsidR="001257B2" w:rsidRPr="003B12F4" w:rsidRDefault="001257B2" w:rsidP="001257B2">
      <w:pPr>
        <w:pStyle w:val="CETBodytext"/>
        <w:rPr>
          <w:lang w:val="en-GB"/>
        </w:rPr>
      </w:pPr>
      <w:r>
        <w:t>Both control and treated MP cherry tomatoes lost weight during storage, reaching about 3.5% of weight loss (data not shown), highlighting that the coating did not affect this parameter. In table 1 the colorimetric parameters for control and treated samples are reported. L* decreased during storage, starting from 42 ±</w:t>
      </w:r>
      <w:r w:rsidR="003815DB">
        <w:t xml:space="preserve"> </w:t>
      </w:r>
      <w:r>
        <w:t>1 to 35 ± 2 and 34 ±</w:t>
      </w:r>
      <w:r w:rsidR="003815DB">
        <w:t xml:space="preserve"> </w:t>
      </w:r>
      <w:r>
        <w:t xml:space="preserve">2, for control and treated sample, respectively after 14 days of storage. There is a significant effect of time (p&lt;0.05) after 3 days but no effect of treatment. The parameter a* and b* increased for both samples over time, showing a significant effect over time. The combination of PAW and coating played an important role in slowing down the increase of a* and b* over time, as showed from the significant effect of the combination </w:t>
      </w:r>
      <w:r w:rsidR="00CF323F">
        <w:t>since the</w:t>
      </w:r>
      <w:r>
        <w:t xml:space="preserve"> </w:t>
      </w:r>
      <w:r w:rsidR="00CF323F">
        <w:t>3</w:t>
      </w:r>
      <w:r w:rsidR="00CF323F" w:rsidRPr="00CF323F">
        <w:rPr>
          <w:vertAlign w:val="superscript"/>
        </w:rPr>
        <w:t>rd</w:t>
      </w:r>
      <w:r>
        <w:t xml:space="preserve"> days of storage. </w:t>
      </w:r>
      <w:r w:rsidR="00CF323F">
        <w:t>Clearly, this effect can be highlighted by t</w:t>
      </w:r>
      <w:r>
        <w:t>he parameter ∆E</w:t>
      </w:r>
      <w:r w:rsidR="00CF323F">
        <w:t>, that</w:t>
      </w:r>
      <w:r>
        <w:t xml:space="preserve"> increased during time reaching a value of 20 ± 2 </w:t>
      </w:r>
      <w:r w:rsidR="00CF323F">
        <w:t xml:space="preserve">for control </w:t>
      </w:r>
      <w:r w:rsidR="00CF323F">
        <w:t xml:space="preserve">samples </w:t>
      </w:r>
      <w:r>
        <w:t xml:space="preserve">and 13 ± 3 </w:t>
      </w:r>
      <w:r w:rsidR="00CF323F">
        <w:t>for</w:t>
      </w:r>
      <w:r>
        <w:t xml:space="preserve"> treated sample</w:t>
      </w:r>
      <w:r w:rsidR="00CF323F">
        <w:t>s</w:t>
      </w:r>
      <w:r>
        <w:t xml:space="preserve">. </w:t>
      </w:r>
      <w:r w:rsidR="005D5B6B">
        <w:t xml:space="preserve">Combining mucilage from dragon fruits coating and UV-C irradiation showed similar protective effect on </w:t>
      </w:r>
      <w:proofErr w:type="spellStart"/>
      <w:r w:rsidR="005D5B6B">
        <w:t>colour</w:t>
      </w:r>
      <w:proofErr w:type="spellEnd"/>
      <w:r w:rsidR="005D5B6B">
        <w:t xml:space="preserve"> change of tomatoes</w:t>
      </w:r>
      <w:r w:rsidR="005D5B6B">
        <w:t xml:space="preserve"> </w:t>
      </w:r>
      <w:r w:rsidR="005D5B6B">
        <w:fldChar w:fldCharType="begin" w:fldLock="1"/>
      </w:r>
      <w:r w:rsidR="002B4441">
        <w:instrText>ADDIN CSL_CITATION {"citationItems":[{"id":"ITEM-1","itemData":{"DOI":"10.3390/polym13172919","ISSN":"20734360","abstract":"Cherry tomatoes are climacteric fruits that have a limited shelf life. Over the years, many methods have been applied to preserve the fruit quality and safety of these fruits. In this study, a novel method of combining mucilage from dragon fruits and UV-C irradiation was carried out. Cherry tomatoes were subjected to UV-C irradiation and edible coating, both as a stand-alone and hurdle treatment. The edible coating was prepared from the mucilage of white dragon fruits. Quality parameters including color, weight loss, total soluble solids, titratable acidity, ascorbic acid, antioxidant analysis (total phenolic content and flavonoid content), and microbial analysis were measured throughout 21 days of storage at 4◦C. Results showed that the hurdle treatment extended shelf life by 21 days, reduced weight loss (0.87 ± 0.05%) and color changes (11.61 ± 0.95 ∆E), and inhibited microbes better than stand-alone treatments. Furthermore, fruits treated with the combination of UV-C and edible coating also contained higher total polyphenol content (0.132 ± 0.003 mg GAE/100 mL), total flavonoid content (13.179 ± 0.002 mg CE/100 mL), and ascorbic acid (1.07 ± 0.06 mg/100 mL). These results show that the combination of UV-C and edible coating as a hurdle treatment could be an innovative method to preserve shelf life and quality of fruits.","author":[{"dropping-particle":"","family":"Razali","given":"Zuliana","non-dropping-particle":"","parse-names":false,"suffix":""},{"dropping-particle":"","family":"Somasundram","given":"Chandran","non-dropping-particle":"","parse-names":false,"suffix":""},{"dropping-particle":"","family":"Nurulain","given":"Siti Zalifah","non-dropping-particle":"","parse-names":false,"suffix":""},{"dropping-particle":"","family":"Kunasekaran","given":"Wijenthiran","non-dropping-particle":"","parse-names":false,"suffix":""},{"dropping-particle":"","family":"Alias","given":"Matthew Raj","non-dropping-particle":"","parse-names":false,"suffix":""}],"container-title":"Polymers","id":"ITEM-1","issue":"17","issued":{"date-parts":[["2021"]]},"page":"1-13","title":"Postharvest quality of cherry tomatoes coated with mucilage from dragon fruit and irradiated with uv-c","type":"article-journal","volume":"13"},"uris":["http://www.mendeley.com/documents/?uuid=e75f4ad9-b045-48ec-813d-3b9c72aea018"]}],"mendeley":{"formattedCitation":"(Razali, Somasundram, Nurulain, Kunasekaran, &amp; Alias, 2021)","manualFormatting":"(Razali, et al., 2021)","plainTextFormattedCitation":"(Razali, Somasundram, Nurulain, Kunasekaran, &amp; Alias, 2021)"},"properties":{"noteIndex":0},"schema":"https://github.com/citation-style-language/schema/raw/master/csl-citation.json"}</w:instrText>
      </w:r>
      <w:r w:rsidR="005D5B6B">
        <w:fldChar w:fldCharType="separate"/>
      </w:r>
      <w:r w:rsidR="005D5B6B" w:rsidRPr="005D5B6B">
        <w:rPr>
          <w:noProof/>
        </w:rPr>
        <w:t xml:space="preserve">(Razali, </w:t>
      </w:r>
      <w:r w:rsidR="002B4441">
        <w:rPr>
          <w:noProof/>
        </w:rPr>
        <w:t>et al.,</w:t>
      </w:r>
      <w:r w:rsidR="005D5B6B" w:rsidRPr="005D5B6B">
        <w:rPr>
          <w:noProof/>
        </w:rPr>
        <w:t xml:space="preserve"> 2021)</w:t>
      </w:r>
      <w:r w:rsidR="005D5B6B">
        <w:fldChar w:fldCharType="end"/>
      </w:r>
      <w:r w:rsidR="002B4441">
        <w:t>.</w:t>
      </w:r>
      <w:r w:rsidR="005D5B6B">
        <w:t xml:space="preserve"> </w:t>
      </w:r>
      <w:r w:rsidR="00C3074E">
        <w:t>The pH</w:t>
      </w:r>
      <w:r w:rsidR="00DB4E26">
        <w:t xml:space="preserve"> increased during storage time from an initial value of 3.85 </w:t>
      </w:r>
      <w:r w:rsidR="00DB4E26" w:rsidRPr="00984E98">
        <w:rPr>
          <w:rFonts w:cs="Arial"/>
          <w:color w:val="000000"/>
          <w:szCs w:val="18"/>
          <w:lang w:val="en-GB" w:eastAsia="it-IT"/>
        </w:rPr>
        <w:t>±</w:t>
      </w:r>
      <w:r w:rsidR="00DB4E26">
        <w:rPr>
          <w:rFonts w:cs="Arial"/>
          <w:color w:val="000000"/>
          <w:szCs w:val="18"/>
          <w:lang w:val="en-GB" w:eastAsia="it-IT"/>
        </w:rPr>
        <w:t xml:space="preserve"> 0.02 </w:t>
      </w:r>
      <w:r w:rsidR="009831E7">
        <w:rPr>
          <w:rFonts w:cs="Arial"/>
          <w:color w:val="000000"/>
          <w:szCs w:val="18"/>
          <w:lang w:val="en-GB" w:eastAsia="it-IT"/>
        </w:rPr>
        <w:t xml:space="preserve">and reaching the highest value (4.56 </w:t>
      </w:r>
      <w:r w:rsidR="009831E7" w:rsidRPr="003B12F4">
        <w:rPr>
          <w:rFonts w:cs="Arial"/>
          <w:color w:val="000000"/>
          <w:szCs w:val="18"/>
          <w:lang w:val="en-GB" w:eastAsia="it-IT"/>
        </w:rPr>
        <w:t xml:space="preserve">± </w:t>
      </w:r>
      <w:r w:rsidR="009831E7">
        <w:rPr>
          <w:rFonts w:cs="Arial"/>
          <w:color w:val="000000"/>
          <w:szCs w:val="18"/>
          <w:lang w:val="en-GB" w:eastAsia="it-IT"/>
        </w:rPr>
        <w:t xml:space="preserve">0.01 and 4.63 </w:t>
      </w:r>
      <w:r w:rsidR="009831E7" w:rsidRPr="003B12F4">
        <w:rPr>
          <w:rFonts w:cs="Arial"/>
          <w:color w:val="000000"/>
          <w:szCs w:val="18"/>
          <w:lang w:val="en-GB" w:eastAsia="it-IT"/>
        </w:rPr>
        <w:t>±</w:t>
      </w:r>
      <w:r w:rsidR="009831E7">
        <w:rPr>
          <w:rFonts w:cs="Arial"/>
          <w:color w:val="000000"/>
          <w:szCs w:val="18"/>
          <w:lang w:val="en-GB" w:eastAsia="it-IT"/>
        </w:rPr>
        <w:t xml:space="preserve"> 0.02 for control and treated, respectively) after 6 days and then decreased again to remain constant until 14 days of storage, without any differences from control to treated sample.</w:t>
      </w:r>
      <w:r w:rsidR="00AA17E1">
        <w:rPr>
          <w:rFonts w:cs="Arial"/>
          <w:color w:val="000000"/>
          <w:szCs w:val="18"/>
          <w:lang w:val="en-GB" w:eastAsia="it-IT"/>
        </w:rPr>
        <w:t xml:space="preserve"> The TSS remained constant for the control sample among all the storage time. The treated sample showed a significant (p&lt;0.05) decrease after 3 days but was constant up to 14 days of storage. </w:t>
      </w:r>
      <w:r w:rsidR="00BE6B3F">
        <w:rPr>
          <w:rFonts w:cs="Arial"/>
          <w:color w:val="000000"/>
          <w:szCs w:val="18"/>
          <w:lang w:val="en-GB" w:eastAsia="it-IT"/>
        </w:rPr>
        <w:t>T</w:t>
      </w:r>
      <w:r w:rsidR="00AA17E1">
        <w:rPr>
          <w:rFonts w:cs="Arial"/>
          <w:color w:val="000000"/>
          <w:szCs w:val="18"/>
          <w:lang w:val="en-GB" w:eastAsia="it-IT"/>
        </w:rPr>
        <w:t>he firmn</w:t>
      </w:r>
      <w:r w:rsidR="00BE6B3F">
        <w:rPr>
          <w:rFonts w:cs="Arial"/>
          <w:color w:val="000000"/>
          <w:szCs w:val="18"/>
          <w:lang w:val="en-GB" w:eastAsia="it-IT"/>
        </w:rPr>
        <w:t xml:space="preserve">ess significantly decreased over time for both samples without any differences </w:t>
      </w:r>
      <w:r w:rsidR="00CC3BF8">
        <w:rPr>
          <w:rFonts w:cs="Arial"/>
          <w:color w:val="000000"/>
          <w:szCs w:val="18"/>
          <w:lang w:val="en-GB" w:eastAsia="it-IT"/>
        </w:rPr>
        <w:t>between control and treated sample</w:t>
      </w:r>
      <w:r w:rsidR="005D5B6B">
        <w:t xml:space="preserve">. </w:t>
      </w:r>
      <w:r w:rsidR="002B4441">
        <w:t xml:space="preserve">This result can be justified by the storage time which is not enough to see difference between samples. Further studied are required to evaluate the impact of the technologies for longer storage time. </w:t>
      </w:r>
    </w:p>
    <w:p w14:paraId="27825460" w14:textId="24B52D78" w:rsidR="00425653" w:rsidRDefault="00425653" w:rsidP="00D20840">
      <w:pPr>
        <w:pStyle w:val="CETTabletitle"/>
      </w:pPr>
      <w:r>
        <w:t>Table 1</w:t>
      </w:r>
      <w:r w:rsidR="00AE44A0">
        <w:t>.</w:t>
      </w:r>
      <w:r w:rsidR="00C74E14">
        <w:t xml:space="preserve"> </w:t>
      </w:r>
      <w:proofErr w:type="spellStart"/>
      <w:r w:rsidR="00C74E14">
        <w:t>Color</w:t>
      </w:r>
      <w:proofErr w:type="spellEnd"/>
      <w:r w:rsidR="00C74E14">
        <w:t xml:space="preserve"> (L*, a*, b*, ∆E)</w:t>
      </w:r>
      <w:r w:rsidR="00DD5CC6">
        <w:t>,</w:t>
      </w:r>
      <w:r w:rsidR="00C74E14">
        <w:t xml:space="preserve"> pH</w:t>
      </w:r>
      <w:r w:rsidR="00DD5CC6">
        <w:t>, TSS, firmness</w:t>
      </w:r>
      <w:r w:rsidR="00C74E14">
        <w:t xml:space="preserve"> of control and </w:t>
      </w:r>
      <w:proofErr w:type="spellStart"/>
      <w:r w:rsidR="00DD5CC6">
        <w:t>trated</w:t>
      </w:r>
      <w:proofErr w:type="spellEnd"/>
      <w:r w:rsidR="00C74E14">
        <w:t xml:space="preserve"> samples </w:t>
      </w:r>
      <w:r w:rsidR="00433E58">
        <w:t>(</w:t>
      </w:r>
      <w:proofErr w:type="spellStart"/>
      <w:r w:rsidR="00433E58">
        <w:t>PAW+coating</w:t>
      </w:r>
      <w:proofErr w:type="spellEnd"/>
      <w:r w:rsidR="00433E58">
        <w:t>)</w:t>
      </w:r>
      <w:r w:rsidR="005F5D73">
        <w:t>, AA and TPC</w:t>
      </w:r>
      <w:r w:rsidR="00433E58">
        <w:t xml:space="preserve"> </w:t>
      </w:r>
      <w:r w:rsidR="00C74E14">
        <w:t>at different storage time.</w:t>
      </w:r>
    </w:p>
    <w:tbl>
      <w:tblPr>
        <w:tblW w:w="9386" w:type="dxa"/>
        <w:tblBorders>
          <w:bottom w:val="single" w:sz="4" w:space="0" w:color="auto"/>
        </w:tblBorders>
        <w:tblCellMar>
          <w:left w:w="70" w:type="dxa"/>
          <w:right w:w="70" w:type="dxa"/>
        </w:tblCellMar>
        <w:tblLook w:val="04A0" w:firstRow="1" w:lastRow="0" w:firstColumn="1" w:lastColumn="0" w:noHBand="0" w:noVBand="1"/>
      </w:tblPr>
      <w:tblGrid>
        <w:gridCol w:w="960"/>
        <w:gridCol w:w="2726"/>
        <w:gridCol w:w="1091"/>
        <w:gridCol w:w="1193"/>
        <w:gridCol w:w="1216"/>
        <w:gridCol w:w="1100"/>
        <w:gridCol w:w="1100"/>
      </w:tblGrid>
      <w:tr w:rsidR="00B1383E" w:rsidRPr="00134C89" w14:paraId="24C6665B" w14:textId="77777777" w:rsidTr="00FB1B25">
        <w:trPr>
          <w:trHeight w:val="290"/>
        </w:trPr>
        <w:tc>
          <w:tcPr>
            <w:tcW w:w="960" w:type="dxa"/>
            <w:tcBorders>
              <w:top w:val="single" w:sz="12" w:space="0" w:color="008000"/>
              <w:bottom w:val="single" w:sz="6" w:space="0" w:color="008000"/>
            </w:tcBorders>
            <w:shd w:val="clear" w:color="auto" w:fill="auto"/>
            <w:noWrap/>
            <w:vAlign w:val="bottom"/>
            <w:hideMark/>
          </w:tcPr>
          <w:p w14:paraId="7B8F0CBA"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Sample</w:t>
            </w:r>
          </w:p>
        </w:tc>
        <w:tc>
          <w:tcPr>
            <w:tcW w:w="2726" w:type="dxa"/>
            <w:tcBorders>
              <w:top w:val="single" w:sz="12" w:space="0" w:color="008000"/>
              <w:bottom w:val="single" w:sz="6" w:space="0" w:color="008000"/>
            </w:tcBorders>
            <w:shd w:val="clear" w:color="auto" w:fill="auto"/>
            <w:noWrap/>
            <w:vAlign w:val="bottom"/>
            <w:hideMark/>
          </w:tcPr>
          <w:p w14:paraId="39E82A8A" w14:textId="77777777" w:rsidR="00ED67E7" w:rsidRPr="003B12F4" w:rsidRDefault="00ED67E7" w:rsidP="00ED67E7">
            <w:pPr>
              <w:tabs>
                <w:tab w:val="clear" w:pos="7100"/>
              </w:tabs>
              <w:spacing w:line="240" w:lineRule="auto"/>
              <w:jc w:val="left"/>
              <w:rPr>
                <w:rFonts w:cs="Arial"/>
                <w:color w:val="000000"/>
                <w:szCs w:val="18"/>
                <w:lang w:val="it-IT" w:eastAsia="it-IT"/>
              </w:rPr>
            </w:pPr>
            <w:proofErr w:type="spellStart"/>
            <w:r w:rsidRPr="003B12F4">
              <w:rPr>
                <w:rFonts w:cs="Arial"/>
                <w:color w:val="000000"/>
                <w:szCs w:val="18"/>
                <w:lang w:val="it-IT" w:eastAsia="it-IT"/>
              </w:rPr>
              <w:t>Parameters</w:t>
            </w:r>
            <w:proofErr w:type="spellEnd"/>
          </w:p>
        </w:tc>
        <w:tc>
          <w:tcPr>
            <w:tcW w:w="5700" w:type="dxa"/>
            <w:gridSpan w:val="5"/>
            <w:tcBorders>
              <w:top w:val="single" w:sz="12" w:space="0" w:color="008000"/>
              <w:bottom w:val="single" w:sz="6" w:space="0" w:color="008000"/>
            </w:tcBorders>
            <w:shd w:val="clear" w:color="auto" w:fill="auto"/>
            <w:noWrap/>
            <w:vAlign w:val="bottom"/>
            <w:hideMark/>
          </w:tcPr>
          <w:p w14:paraId="1AB4CA6D" w14:textId="12456B34" w:rsidR="00ED67E7" w:rsidRPr="003B12F4" w:rsidRDefault="00ED67E7" w:rsidP="00ED67E7">
            <w:pPr>
              <w:tabs>
                <w:tab w:val="clear" w:pos="7100"/>
              </w:tabs>
              <w:spacing w:line="240" w:lineRule="auto"/>
              <w:jc w:val="center"/>
              <w:rPr>
                <w:rFonts w:cs="Arial"/>
                <w:color w:val="000000"/>
                <w:szCs w:val="18"/>
                <w:lang w:val="it-IT" w:eastAsia="it-IT"/>
              </w:rPr>
            </w:pPr>
            <w:r w:rsidRPr="003B12F4">
              <w:rPr>
                <w:rFonts w:cs="Arial"/>
                <w:color w:val="000000"/>
                <w:szCs w:val="18"/>
                <w:lang w:val="it-IT" w:eastAsia="it-IT"/>
              </w:rPr>
              <w:t>Time</w:t>
            </w:r>
            <w:r w:rsidR="00C74E14">
              <w:rPr>
                <w:rFonts w:cs="Arial"/>
                <w:color w:val="000000"/>
                <w:szCs w:val="18"/>
                <w:lang w:val="it-IT" w:eastAsia="it-IT"/>
              </w:rPr>
              <w:t xml:space="preserve"> (days)</w:t>
            </w:r>
          </w:p>
        </w:tc>
      </w:tr>
      <w:tr w:rsidR="00B1383E" w:rsidRPr="00134C89" w14:paraId="00EA9630" w14:textId="77777777" w:rsidTr="00FB1B25">
        <w:trPr>
          <w:trHeight w:val="290"/>
        </w:trPr>
        <w:tc>
          <w:tcPr>
            <w:tcW w:w="960" w:type="dxa"/>
            <w:tcBorders>
              <w:top w:val="single" w:sz="6" w:space="0" w:color="008000"/>
            </w:tcBorders>
            <w:shd w:val="clear" w:color="auto" w:fill="auto"/>
            <w:noWrap/>
            <w:vAlign w:val="bottom"/>
            <w:hideMark/>
          </w:tcPr>
          <w:p w14:paraId="6A5171B8"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Control</w:t>
            </w:r>
          </w:p>
        </w:tc>
        <w:tc>
          <w:tcPr>
            <w:tcW w:w="2726" w:type="dxa"/>
            <w:tcBorders>
              <w:top w:val="single" w:sz="6" w:space="0" w:color="008000"/>
            </w:tcBorders>
            <w:shd w:val="clear" w:color="auto" w:fill="auto"/>
            <w:noWrap/>
            <w:vAlign w:val="bottom"/>
            <w:hideMark/>
          </w:tcPr>
          <w:p w14:paraId="518496AE" w14:textId="77777777" w:rsidR="00ED67E7" w:rsidRPr="003B12F4" w:rsidRDefault="00ED67E7" w:rsidP="00ED67E7">
            <w:pPr>
              <w:tabs>
                <w:tab w:val="clear" w:pos="7100"/>
              </w:tabs>
              <w:spacing w:line="240" w:lineRule="auto"/>
              <w:jc w:val="left"/>
              <w:rPr>
                <w:rFonts w:cs="Arial"/>
                <w:color w:val="000000"/>
                <w:szCs w:val="18"/>
                <w:lang w:val="it-IT" w:eastAsia="it-IT"/>
              </w:rPr>
            </w:pPr>
          </w:p>
        </w:tc>
        <w:tc>
          <w:tcPr>
            <w:tcW w:w="1091" w:type="dxa"/>
            <w:tcBorders>
              <w:top w:val="single" w:sz="6" w:space="0" w:color="008000"/>
            </w:tcBorders>
            <w:shd w:val="clear" w:color="auto" w:fill="auto"/>
            <w:noWrap/>
            <w:vAlign w:val="bottom"/>
            <w:hideMark/>
          </w:tcPr>
          <w:p w14:paraId="66956E32" w14:textId="77777777" w:rsidR="00ED67E7" w:rsidRPr="003B12F4" w:rsidRDefault="00ED67E7" w:rsidP="00F8257D">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0</w:t>
            </w:r>
          </w:p>
        </w:tc>
        <w:tc>
          <w:tcPr>
            <w:tcW w:w="1193" w:type="dxa"/>
            <w:tcBorders>
              <w:top w:val="single" w:sz="6" w:space="0" w:color="008000"/>
            </w:tcBorders>
            <w:shd w:val="clear" w:color="auto" w:fill="auto"/>
            <w:noWrap/>
            <w:vAlign w:val="bottom"/>
            <w:hideMark/>
          </w:tcPr>
          <w:p w14:paraId="0DB15DF7" w14:textId="77777777" w:rsidR="00ED67E7" w:rsidRPr="003B12F4" w:rsidRDefault="00ED67E7" w:rsidP="00F8257D">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w:t>
            </w:r>
          </w:p>
        </w:tc>
        <w:tc>
          <w:tcPr>
            <w:tcW w:w="1216" w:type="dxa"/>
            <w:tcBorders>
              <w:top w:val="single" w:sz="6" w:space="0" w:color="008000"/>
            </w:tcBorders>
            <w:shd w:val="clear" w:color="auto" w:fill="auto"/>
            <w:noWrap/>
            <w:vAlign w:val="bottom"/>
            <w:hideMark/>
          </w:tcPr>
          <w:p w14:paraId="686E927D" w14:textId="77777777" w:rsidR="00ED67E7" w:rsidRPr="003B12F4" w:rsidRDefault="00ED67E7" w:rsidP="00F8257D">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6</w:t>
            </w:r>
          </w:p>
        </w:tc>
        <w:tc>
          <w:tcPr>
            <w:tcW w:w="1100" w:type="dxa"/>
            <w:tcBorders>
              <w:top w:val="single" w:sz="6" w:space="0" w:color="008000"/>
            </w:tcBorders>
            <w:shd w:val="clear" w:color="auto" w:fill="auto"/>
            <w:noWrap/>
            <w:vAlign w:val="bottom"/>
            <w:hideMark/>
          </w:tcPr>
          <w:p w14:paraId="74F6A35E" w14:textId="77777777" w:rsidR="00ED67E7" w:rsidRPr="003B12F4" w:rsidRDefault="00ED67E7" w:rsidP="00F8257D">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9</w:t>
            </w:r>
          </w:p>
        </w:tc>
        <w:tc>
          <w:tcPr>
            <w:tcW w:w="1100" w:type="dxa"/>
            <w:tcBorders>
              <w:top w:val="single" w:sz="6" w:space="0" w:color="008000"/>
            </w:tcBorders>
            <w:shd w:val="clear" w:color="auto" w:fill="auto"/>
            <w:noWrap/>
            <w:vAlign w:val="bottom"/>
            <w:hideMark/>
          </w:tcPr>
          <w:p w14:paraId="34E644CF" w14:textId="77777777" w:rsidR="00ED67E7" w:rsidRPr="003B12F4" w:rsidRDefault="00ED67E7" w:rsidP="00F8257D">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14</w:t>
            </w:r>
          </w:p>
        </w:tc>
      </w:tr>
      <w:tr w:rsidR="00B1383E" w:rsidRPr="00134C89" w14:paraId="06775DE9" w14:textId="77777777" w:rsidTr="00FB1B25">
        <w:trPr>
          <w:trHeight w:val="290"/>
        </w:trPr>
        <w:tc>
          <w:tcPr>
            <w:tcW w:w="960" w:type="dxa"/>
            <w:tcBorders>
              <w:bottom w:val="nil"/>
            </w:tcBorders>
            <w:shd w:val="clear" w:color="auto" w:fill="auto"/>
            <w:noWrap/>
            <w:vAlign w:val="bottom"/>
            <w:hideMark/>
          </w:tcPr>
          <w:p w14:paraId="429072E0" w14:textId="77777777" w:rsidR="00ED67E7" w:rsidRPr="003B12F4" w:rsidRDefault="00ED67E7" w:rsidP="00ED67E7">
            <w:pPr>
              <w:tabs>
                <w:tab w:val="clear" w:pos="7100"/>
              </w:tabs>
              <w:spacing w:line="240" w:lineRule="auto"/>
              <w:jc w:val="center"/>
              <w:rPr>
                <w:rFonts w:cs="Arial"/>
                <w:color w:val="000000"/>
                <w:szCs w:val="18"/>
                <w:lang w:val="it-IT" w:eastAsia="it-IT"/>
              </w:rPr>
            </w:pPr>
          </w:p>
        </w:tc>
        <w:tc>
          <w:tcPr>
            <w:tcW w:w="2726" w:type="dxa"/>
            <w:tcBorders>
              <w:bottom w:val="nil"/>
            </w:tcBorders>
            <w:shd w:val="clear" w:color="auto" w:fill="auto"/>
            <w:noWrap/>
            <w:vAlign w:val="bottom"/>
            <w:hideMark/>
          </w:tcPr>
          <w:p w14:paraId="3A93C123" w14:textId="501C960C"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L</w:t>
            </w:r>
            <w:r w:rsidR="00AB245D" w:rsidRPr="003B12F4">
              <w:rPr>
                <w:rFonts w:cs="Arial"/>
                <w:color w:val="000000"/>
                <w:szCs w:val="18"/>
                <w:lang w:val="it-IT" w:eastAsia="it-IT"/>
              </w:rPr>
              <w:t>*</w:t>
            </w:r>
          </w:p>
        </w:tc>
        <w:tc>
          <w:tcPr>
            <w:tcW w:w="1091" w:type="dxa"/>
            <w:tcBorders>
              <w:bottom w:val="nil"/>
            </w:tcBorders>
            <w:shd w:val="clear" w:color="auto" w:fill="auto"/>
            <w:noWrap/>
            <w:vAlign w:val="bottom"/>
            <w:hideMark/>
          </w:tcPr>
          <w:p w14:paraId="51651EC6"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42±1</w:t>
            </w:r>
            <w:r w:rsidRPr="003B12F4">
              <w:rPr>
                <w:rFonts w:cs="Arial"/>
                <w:color w:val="000000"/>
                <w:szCs w:val="18"/>
                <w:vertAlign w:val="superscript"/>
                <w:lang w:val="it-IT" w:eastAsia="it-IT"/>
              </w:rPr>
              <w:t>c</w:t>
            </w:r>
          </w:p>
        </w:tc>
        <w:tc>
          <w:tcPr>
            <w:tcW w:w="1193" w:type="dxa"/>
            <w:tcBorders>
              <w:bottom w:val="nil"/>
            </w:tcBorders>
            <w:shd w:val="clear" w:color="auto" w:fill="auto"/>
            <w:noWrap/>
            <w:vAlign w:val="bottom"/>
            <w:hideMark/>
          </w:tcPr>
          <w:p w14:paraId="2F5A8193"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36±2</w:t>
            </w:r>
            <w:r w:rsidRPr="003B12F4">
              <w:rPr>
                <w:rFonts w:cs="Arial"/>
                <w:color w:val="000000"/>
                <w:szCs w:val="18"/>
                <w:vertAlign w:val="superscript"/>
                <w:lang w:val="it-IT" w:eastAsia="it-IT"/>
              </w:rPr>
              <w:t>ab</w:t>
            </w:r>
          </w:p>
        </w:tc>
        <w:tc>
          <w:tcPr>
            <w:tcW w:w="1216" w:type="dxa"/>
            <w:tcBorders>
              <w:bottom w:val="nil"/>
            </w:tcBorders>
            <w:shd w:val="clear" w:color="auto" w:fill="auto"/>
            <w:noWrap/>
            <w:vAlign w:val="bottom"/>
            <w:hideMark/>
          </w:tcPr>
          <w:p w14:paraId="3E29B09B"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37±1</w:t>
            </w:r>
            <w:r w:rsidRPr="003B12F4">
              <w:rPr>
                <w:rFonts w:cs="Arial"/>
                <w:color w:val="000000"/>
                <w:szCs w:val="18"/>
                <w:vertAlign w:val="superscript"/>
                <w:lang w:val="it-IT" w:eastAsia="it-IT"/>
              </w:rPr>
              <w:t>b</w:t>
            </w:r>
          </w:p>
        </w:tc>
        <w:tc>
          <w:tcPr>
            <w:tcW w:w="1100" w:type="dxa"/>
            <w:tcBorders>
              <w:bottom w:val="nil"/>
            </w:tcBorders>
            <w:shd w:val="clear" w:color="auto" w:fill="auto"/>
            <w:noWrap/>
            <w:vAlign w:val="bottom"/>
            <w:hideMark/>
          </w:tcPr>
          <w:p w14:paraId="6068F9BB"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35.5±0.8</w:t>
            </w:r>
            <w:r w:rsidRPr="003B12F4">
              <w:rPr>
                <w:rFonts w:cs="Arial"/>
                <w:color w:val="000000"/>
                <w:szCs w:val="18"/>
                <w:vertAlign w:val="superscript"/>
                <w:lang w:val="it-IT" w:eastAsia="it-IT"/>
              </w:rPr>
              <w:t>ab</w:t>
            </w:r>
          </w:p>
        </w:tc>
        <w:tc>
          <w:tcPr>
            <w:tcW w:w="1100" w:type="dxa"/>
            <w:tcBorders>
              <w:bottom w:val="nil"/>
            </w:tcBorders>
            <w:shd w:val="clear" w:color="auto" w:fill="auto"/>
            <w:noWrap/>
            <w:vAlign w:val="bottom"/>
            <w:hideMark/>
          </w:tcPr>
          <w:p w14:paraId="36416974"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35±2</w:t>
            </w:r>
            <w:r w:rsidRPr="003B12F4">
              <w:rPr>
                <w:rFonts w:cs="Arial"/>
                <w:color w:val="000000"/>
                <w:szCs w:val="18"/>
                <w:vertAlign w:val="superscript"/>
                <w:lang w:val="it-IT" w:eastAsia="it-IT"/>
              </w:rPr>
              <w:t>a</w:t>
            </w:r>
          </w:p>
        </w:tc>
      </w:tr>
      <w:tr w:rsidR="00B1383E" w:rsidRPr="00134C89" w14:paraId="6E54BCA4" w14:textId="77777777" w:rsidTr="00FB1B25">
        <w:trPr>
          <w:trHeight w:val="290"/>
        </w:trPr>
        <w:tc>
          <w:tcPr>
            <w:tcW w:w="960" w:type="dxa"/>
            <w:tcBorders>
              <w:bottom w:val="nil"/>
            </w:tcBorders>
            <w:shd w:val="clear" w:color="auto" w:fill="auto"/>
            <w:noWrap/>
            <w:vAlign w:val="bottom"/>
            <w:hideMark/>
          </w:tcPr>
          <w:p w14:paraId="2C5A7429" w14:textId="77777777" w:rsidR="00ED67E7" w:rsidRPr="003B12F4" w:rsidRDefault="00ED67E7" w:rsidP="00ED67E7">
            <w:pPr>
              <w:tabs>
                <w:tab w:val="clear" w:pos="7100"/>
              </w:tabs>
              <w:spacing w:line="240" w:lineRule="auto"/>
              <w:jc w:val="left"/>
              <w:rPr>
                <w:rFonts w:cs="Arial"/>
                <w:color w:val="000000"/>
                <w:szCs w:val="18"/>
                <w:lang w:val="it-IT" w:eastAsia="it-IT"/>
              </w:rPr>
            </w:pPr>
          </w:p>
        </w:tc>
        <w:tc>
          <w:tcPr>
            <w:tcW w:w="2726" w:type="dxa"/>
            <w:tcBorders>
              <w:bottom w:val="nil"/>
            </w:tcBorders>
            <w:shd w:val="clear" w:color="auto" w:fill="auto"/>
            <w:noWrap/>
            <w:vAlign w:val="bottom"/>
            <w:hideMark/>
          </w:tcPr>
          <w:p w14:paraId="25270B6F" w14:textId="158D6E9F" w:rsidR="00ED67E7" w:rsidRPr="003B12F4" w:rsidRDefault="00D51E09"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a*</w:t>
            </w:r>
          </w:p>
        </w:tc>
        <w:tc>
          <w:tcPr>
            <w:tcW w:w="1091" w:type="dxa"/>
            <w:tcBorders>
              <w:bottom w:val="nil"/>
            </w:tcBorders>
            <w:shd w:val="clear" w:color="auto" w:fill="auto"/>
            <w:noWrap/>
            <w:vAlign w:val="bottom"/>
            <w:hideMark/>
          </w:tcPr>
          <w:p w14:paraId="65EE6030"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16±3</w:t>
            </w:r>
            <w:r w:rsidRPr="003B12F4">
              <w:rPr>
                <w:rFonts w:cs="Arial"/>
                <w:color w:val="000000"/>
                <w:szCs w:val="18"/>
                <w:vertAlign w:val="superscript"/>
                <w:lang w:val="it-IT" w:eastAsia="it-IT"/>
              </w:rPr>
              <w:t>a</w:t>
            </w:r>
          </w:p>
        </w:tc>
        <w:tc>
          <w:tcPr>
            <w:tcW w:w="1193" w:type="dxa"/>
            <w:tcBorders>
              <w:bottom w:val="nil"/>
            </w:tcBorders>
            <w:shd w:val="clear" w:color="auto" w:fill="auto"/>
            <w:noWrap/>
            <w:vAlign w:val="bottom"/>
            <w:hideMark/>
          </w:tcPr>
          <w:p w14:paraId="04ECFA7E"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25±2</w:t>
            </w:r>
            <w:r w:rsidRPr="003B12F4">
              <w:rPr>
                <w:rFonts w:cs="Arial"/>
                <w:color w:val="000000"/>
                <w:szCs w:val="18"/>
                <w:vertAlign w:val="superscript"/>
                <w:lang w:val="it-IT" w:eastAsia="it-IT"/>
              </w:rPr>
              <w:t>bc</w:t>
            </w:r>
          </w:p>
        </w:tc>
        <w:tc>
          <w:tcPr>
            <w:tcW w:w="1216" w:type="dxa"/>
            <w:tcBorders>
              <w:bottom w:val="nil"/>
            </w:tcBorders>
            <w:shd w:val="clear" w:color="auto" w:fill="auto"/>
            <w:noWrap/>
            <w:vAlign w:val="bottom"/>
            <w:hideMark/>
          </w:tcPr>
          <w:p w14:paraId="12525A37"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24±2</w:t>
            </w:r>
            <w:r w:rsidRPr="003B12F4">
              <w:rPr>
                <w:rFonts w:cs="Arial"/>
                <w:color w:val="000000"/>
                <w:szCs w:val="18"/>
                <w:vertAlign w:val="superscript"/>
                <w:lang w:val="it-IT" w:eastAsia="it-IT"/>
              </w:rPr>
              <w:t>b</w:t>
            </w:r>
          </w:p>
        </w:tc>
        <w:tc>
          <w:tcPr>
            <w:tcW w:w="1100" w:type="dxa"/>
            <w:tcBorders>
              <w:bottom w:val="nil"/>
            </w:tcBorders>
            <w:shd w:val="clear" w:color="auto" w:fill="auto"/>
            <w:noWrap/>
            <w:vAlign w:val="bottom"/>
            <w:hideMark/>
          </w:tcPr>
          <w:p w14:paraId="7C5BAA6C"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26±2</w:t>
            </w:r>
            <w:r w:rsidRPr="003B12F4">
              <w:rPr>
                <w:rFonts w:cs="Arial"/>
                <w:color w:val="000000"/>
                <w:szCs w:val="18"/>
                <w:vertAlign w:val="superscript"/>
                <w:lang w:val="it-IT" w:eastAsia="it-IT"/>
              </w:rPr>
              <w:t>bc</w:t>
            </w:r>
          </w:p>
        </w:tc>
        <w:tc>
          <w:tcPr>
            <w:tcW w:w="1100" w:type="dxa"/>
            <w:tcBorders>
              <w:bottom w:val="nil"/>
            </w:tcBorders>
            <w:shd w:val="clear" w:color="auto" w:fill="auto"/>
            <w:noWrap/>
            <w:vAlign w:val="bottom"/>
            <w:hideMark/>
          </w:tcPr>
          <w:p w14:paraId="63A5E526"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27±3</w:t>
            </w:r>
            <w:r w:rsidRPr="003B12F4">
              <w:rPr>
                <w:rFonts w:cs="Arial"/>
                <w:color w:val="000000"/>
                <w:szCs w:val="18"/>
                <w:vertAlign w:val="superscript"/>
                <w:lang w:val="it-IT" w:eastAsia="it-IT"/>
              </w:rPr>
              <w:t>c</w:t>
            </w:r>
          </w:p>
        </w:tc>
      </w:tr>
      <w:tr w:rsidR="00B1383E" w:rsidRPr="00134C89" w14:paraId="6448CF3D" w14:textId="77777777" w:rsidTr="00FB1B25">
        <w:trPr>
          <w:trHeight w:val="290"/>
        </w:trPr>
        <w:tc>
          <w:tcPr>
            <w:tcW w:w="960" w:type="dxa"/>
            <w:tcBorders>
              <w:top w:val="nil"/>
              <w:bottom w:val="nil"/>
            </w:tcBorders>
            <w:shd w:val="clear" w:color="auto" w:fill="auto"/>
            <w:noWrap/>
            <w:vAlign w:val="bottom"/>
            <w:hideMark/>
          </w:tcPr>
          <w:p w14:paraId="43D5D79D" w14:textId="77777777" w:rsidR="00ED67E7" w:rsidRPr="003B12F4" w:rsidRDefault="00ED67E7" w:rsidP="00ED67E7">
            <w:pPr>
              <w:tabs>
                <w:tab w:val="clear" w:pos="7100"/>
              </w:tabs>
              <w:spacing w:line="240" w:lineRule="auto"/>
              <w:jc w:val="left"/>
              <w:rPr>
                <w:rFonts w:cs="Arial"/>
                <w:color w:val="000000"/>
                <w:szCs w:val="18"/>
                <w:lang w:val="it-IT" w:eastAsia="it-IT"/>
              </w:rPr>
            </w:pPr>
          </w:p>
        </w:tc>
        <w:tc>
          <w:tcPr>
            <w:tcW w:w="2726" w:type="dxa"/>
            <w:tcBorders>
              <w:top w:val="nil"/>
              <w:bottom w:val="nil"/>
            </w:tcBorders>
            <w:shd w:val="clear" w:color="auto" w:fill="auto"/>
            <w:noWrap/>
            <w:vAlign w:val="bottom"/>
            <w:hideMark/>
          </w:tcPr>
          <w:p w14:paraId="7DBD7B92" w14:textId="6DD981A8" w:rsidR="00ED67E7" w:rsidRPr="003B12F4" w:rsidRDefault="00D51E09"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b*</w:t>
            </w:r>
          </w:p>
        </w:tc>
        <w:tc>
          <w:tcPr>
            <w:tcW w:w="1091" w:type="dxa"/>
            <w:tcBorders>
              <w:top w:val="nil"/>
              <w:bottom w:val="nil"/>
            </w:tcBorders>
            <w:shd w:val="clear" w:color="auto" w:fill="auto"/>
            <w:noWrap/>
            <w:vAlign w:val="bottom"/>
            <w:hideMark/>
          </w:tcPr>
          <w:p w14:paraId="693A9290"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16±2</w:t>
            </w:r>
            <w:r w:rsidRPr="003B12F4">
              <w:rPr>
                <w:rFonts w:cs="Arial"/>
                <w:color w:val="000000"/>
                <w:szCs w:val="18"/>
                <w:vertAlign w:val="superscript"/>
                <w:lang w:val="it-IT" w:eastAsia="it-IT"/>
              </w:rPr>
              <w:t>a</w:t>
            </w:r>
          </w:p>
        </w:tc>
        <w:tc>
          <w:tcPr>
            <w:tcW w:w="1193" w:type="dxa"/>
            <w:tcBorders>
              <w:top w:val="nil"/>
              <w:bottom w:val="nil"/>
            </w:tcBorders>
            <w:shd w:val="clear" w:color="auto" w:fill="auto"/>
            <w:noWrap/>
            <w:vAlign w:val="bottom"/>
            <w:hideMark/>
          </w:tcPr>
          <w:p w14:paraId="07158857"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24±3</w:t>
            </w:r>
            <w:r w:rsidRPr="003B12F4">
              <w:rPr>
                <w:rFonts w:cs="Arial"/>
                <w:color w:val="000000"/>
                <w:szCs w:val="18"/>
                <w:vertAlign w:val="superscript"/>
                <w:lang w:val="it-IT" w:eastAsia="it-IT"/>
              </w:rPr>
              <w:t>b</w:t>
            </w:r>
          </w:p>
        </w:tc>
        <w:tc>
          <w:tcPr>
            <w:tcW w:w="1216" w:type="dxa"/>
            <w:tcBorders>
              <w:top w:val="nil"/>
              <w:bottom w:val="nil"/>
            </w:tcBorders>
            <w:shd w:val="clear" w:color="auto" w:fill="auto"/>
            <w:noWrap/>
            <w:vAlign w:val="bottom"/>
            <w:hideMark/>
          </w:tcPr>
          <w:p w14:paraId="601C25E7"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23±2</w:t>
            </w:r>
            <w:r w:rsidRPr="003B12F4">
              <w:rPr>
                <w:rFonts w:cs="Arial"/>
                <w:color w:val="000000"/>
                <w:szCs w:val="18"/>
                <w:vertAlign w:val="superscript"/>
                <w:lang w:val="it-IT" w:eastAsia="it-IT"/>
              </w:rPr>
              <w:t>b</w:t>
            </w:r>
          </w:p>
        </w:tc>
        <w:tc>
          <w:tcPr>
            <w:tcW w:w="1100" w:type="dxa"/>
            <w:tcBorders>
              <w:top w:val="nil"/>
              <w:bottom w:val="nil"/>
            </w:tcBorders>
            <w:shd w:val="clear" w:color="auto" w:fill="auto"/>
            <w:noWrap/>
            <w:vAlign w:val="bottom"/>
            <w:hideMark/>
          </w:tcPr>
          <w:p w14:paraId="32E706E1"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26±3</w:t>
            </w:r>
            <w:r w:rsidRPr="003B12F4">
              <w:rPr>
                <w:rFonts w:cs="Arial"/>
                <w:color w:val="000000"/>
                <w:szCs w:val="18"/>
                <w:vertAlign w:val="superscript"/>
                <w:lang w:val="it-IT" w:eastAsia="it-IT"/>
              </w:rPr>
              <w:t>b</w:t>
            </w:r>
          </w:p>
        </w:tc>
        <w:tc>
          <w:tcPr>
            <w:tcW w:w="1100" w:type="dxa"/>
            <w:tcBorders>
              <w:top w:val="nil"/>
              <w:bottom w:val="nil"/>
            </w:tcBorders>
            <w:shd w:val="clear" w:color="auto" w:fill="auto"/>
            <w:noWrap/>
            <w:vAlign w:val="bottom"/>
            <w:hideMark/>
          </w:tcPr>
          <w:p w14:paraId="63FFB828"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30±3</w:t>
            </w:r>
            <w:r w:rsidRPr="003B12F4">
              <w:rPr>
                <w:rFonts w:cs="Arial"/>
                <w:color w:val="000000"/>
                <w:szCs w:val="18"/>
                <w:vertAlign w:val="superscript"/>
                <w:lang w:val="it-IT" w:eastAsia="it-IT"/>
              </w:rPr>
              <w:t>c</w:t>
            </w:r>
          </w:p>
        </w:tc>
      </w:tr>
      <w:tr w:rsidR="00B1383E" w:rsidRPr="00134C89" w14:paraId="5C1AACE0" w14:textId="77777777" w:rsidTr="00FB1B25">
        <w:trPr>
          <w:trHeight w:val="290"/>
        </w:trPr>
        <w:tc>
          <w:tcPr>
            <w:tcW w:w="960" w:type="dxa"/>
            <w:tcBorders>
              <w:top w:val="nil"/>
              <w:bottom w:val="nil"/>
            </w:tcBorders>
            <w:shd w:val="clear" w:color="auto" w:fill="auto"/>
            <w:noWrap/>
            <w:vAlign w:val="bottom"/>
            <w:hideMark/>
          </w:tcPr>
          <w:p w14:paraId="584348E6" w14:textId="77777777" w:rsidR="00ED67E7" w:rsidRPr="003B12F4" w:rsidRDefault="00ED67E7" w:rsidP="00ED67E7">
            <w:pPr>
              <w:tabs>
                <w:tab w:val="clear" w:pos="7100"/>
              </w:tabs>
              <w:spacing w:line="240" w:lineRule="auto"/>
              <w:jc w:val="left"/>
              <w:rPr>
                <w:rFonts w:cs="Arial"/>
                <w:color w:val="000000"/>
                <w:szCs w:val="18"/>
                <w:lang w:val="it-IT" w:eastAsia="it-IT"/>
              </w:rPr>
            </w:pPr>
          </w:p>
        </w:tc>
        <w:tc>
          <w:tcPr>
            <w:tcW w:w="2726" w:type="dxa"/>
            <w:tcBorders>
              <w:top w:val="nil"/>
              <w:bottom w:val="nil"/>
            </w:tcBorders>
            <w:shd w:val="clear" w:color="auto" w:fill="auto"/>
            <w:noWrap/>
            <w:vAlign w:val="bottom"/>
            <w:hideMark/>
          </w:tcPr>
          <w:p w14:paraId="2850956B"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ascii="Symbol" w:hAnsi="Symbol" w:cs="Arial"/>
                <w:color w:val="000000"/>
                <w:szCs w:val="18"/>
                <w:lang w:val="it-IT" w:eastAsia="it-IT"/>
              </w:rPr>
              <w:t>D</w:t>
            </w:r>
            <w:r w:rsidRPr="003B12F4">
              <w:rPr>
                <w:rFonts w:cs="Arial"/>
                <w:color w:val="000000"/>
                <w:szCs w:val="18"/>
                <w:lang w:val="it-IT" w:eastAsia="it-IT"/>
              </w:rPr>
              <w:t>E</w:t>
            </w:r>
          </w:p>
        </w:tc>
        <w:tc>
          <w:tcPr>
            <w:tcW w:w="1091" w:type="dxa"/>
            <w:tcBorders>
              <w:top w:val="nil"/>
              <w:bottom w:val="nil"/>
            </w:tcBorders>
            <w:shd w:val="clear" w:color="auto" w:fill="auto"/>
            <w:noWrap/>
            <w:vAlign w:val="bottom"/>
            <w:hideMark/>
          </w:tcPr>
          <w:p w14:paraId="3680F8FF" w14:textId="77777777" w:rsidR="00ED67E7" w:rsidRPr="003B12F4" w:rsidRDefault="00ED67E7" w:rsidP="00ED67E7">
            <w:pPr>
              <w:tabs>
                <w:tab w:val="clear" w:pos="7100"/>
              </w:tabs>
              <w:spacing w:line="240" w:lineRule="auto"/>
              <w:jc w:val="left"/>
              <w:rPr>
                <w:rFonts w:cs="Arial"/>
                <w:color w:val="000000"/>
                <w:szCs w:val="18"/>
                <w:lang w:val="it-IT" w:eastAsia="it-IT"/>
              </w:rPr>
            </w:pPr>
          </w:p>
        </w:tc>
        <w:tc>
          <w:tcPr>
            <w:tcW w:w="1193" w:type="dxa"/>
            <w:tcBorders>
              <w:top w:val="nil"/>
              <w:bottom w:val="nil"/>
            </w:tcBorders>
            <w:shd w:val="clear" w:color="auto" w:fill="auto"/>
            <w:noWrap/>
            <w:vAlign w:val="bottom"/>
            <w:hideMark/>
          </w:tcPr>
          <w:p w14:paraId="0CDD2149"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14±1</w:t>
            </w:r>
            <w:r w:rsidRPr="003B12F4">
              <w:rPr>
                <w:rFonts w:cs="Arial"/>
                <w:color w:val="000000"/>
                <w:szCs w:val="18"/>
                <w:vertAlign w:val="superscript"/>
                <w:lang w:val="it-IT" w:eastAsia="it-IT"/>
              </w:rPr>
              <w:t>b</w:t>
            </w:r>
          </w:p>
        </w:tc>
        <w:tc>
          <w:tcPr>
            <w:tcW w:w="1216" w:type="dxa"/>
            <w:tcBorders>
              <w:top w:val="nil"/>
              <w:bottom w:val="nil"/>
            </w:tcBorders>
            <w:shd w:val="clear" w:color="auto" w:fill="auto"/>
            <w:noWrap/>
            <w:vAlign w:val="bottom"/>
            <w:hideMark/>
          </w:tcPr>
          <w:p w14:paraId="1A52AE69"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12±3</w:t>
            </w:r>
            <w:r w:rsidRPr="003B12F4">
              <w:rPr>
                <w:rFonts w:cs="Arial"/>
                <w:color w:val="000000"/>
                <w:szCs w:val="18"/>
                <w:vertAlign w:val="superscript"/>
                <w:lang w:val="it-IT" w:eastAsia="it-IT"/>
              </w:rPr>
              <w:t>a</w:t>
            </w:r>
          </w:p>
        </w:tc>
        <w:tc>
          <w:tcPr>
            <w:tcW w:w="1100" w:type="dxa"/>
            <w:tcBorders>
              <w:top w:val="nil"/>
              <w:bottom w:val="nil"/>
            </w:tcBorders>
            <w:shd w:val="clear" w:color="auto" w:fill="auto"/>
            <w:noWrap/>
            <w:vAlign w:val="bottom"/>
            <w:hideMark/>
          </w:tcPr>
          <w:p w14:paraId="70F9B128"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16±3</w:t>
            </w:r>
            <w:r w:rsidRPr="003B12F4">
              <w:rPr>
                <w:rFonts w:cs="Arial"/>
                <w:color w:val="000000"/>
                <w:szCs w:val="18"/>
                <w:vertAlign w:val="superscript"/>
                <w:lang w:val="it-IT" w:eastAsia="it-IT"/>
              </w:rPr>
              <w:t>b</w:t>
            </w:r>
          </w:p>
        </w:tc>
        <w:tc>
          <w:tcPr>
            <w:tcW w:w="1100" w:type="dxa"/>
            <w:tcBorders>
              <w:top w:val="nil"/>
              <w:bottom w:val="nil"/>
            </w:tcBorders>
            <w:shd w:val="clear" w:color="auto" w:fill="auto"/>
            <w:noWrap/>
            <w:vAlign w:val="bottom"/>
            <w:hideMark/>
          </w:tcPr>
          <w:p w14:paraId="360E4285"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20±2</w:t>
            </w:r>
            <w:r w:rsidRPr="003B12F4">
              <w:rPr>
                <w:rFonts w:cs="Arial"/>
                <w:color w:val="000000"/>
                <w:szCs w:val="18"/>
                <w:vertAlign w:val="superscript"/>
                <w:lang w:val="it-IT" w:eastAsia="it-IT"/>
              </w:rPr>
              <w:t>c</w:t>
            </w:r>
          </w:p>
        </w:tc>
      </w:tr>
      <w:tr w:rsidR="00B1383E" w:rsidRPr="00134C89" w14:paraId="3F89B0FF" w14:textId="77777777" w:rsidTr="00FB1B25">
        <w:trPr>
          <w:trHeight w:val="290"/>
        </w:trPr>
        <w:tc>
          <w:tcPr>
            <w:tcW w:w="960" w:type="dxa"/>
            <w:tcBorders>
              <w:bottom w:val="nil"/>
            </w:tcBorders>
            <w:shd w:val="clear" w:color="auto" w:fill="auto"/>
            <w:noWrap/>
            <w:vAlign w:val="bottom"/>
            <w:hideMark/>
          </w:tcPr>
          <w:p w14:paraId="0666EEEF" w14:textId="77777777" w:rsidR="00ED67E7" w:rsidRPr="003B12F4" w:rsidRDefault="00ED67E7" w:rsidP="00ED67E7">
            <w:pPr>
              <w:tabs>
                <w:tab w:val="clear" w:pos="7100"/>
              </w:tabs>
              <w:spacing w:line="240" w:lineRule="auto"/>
              <w:jc w:val="left"/>
              <w:rPr>
                <w:rFonts w:cs="Arial"/>
                <w:color w:val="000000"/>
                <w:szCs w:val="18"/>
                <w:lang w:val="it-IT" w:eastAsia="it-IT"/>
              </w:rPr>
            </w:pPr>
          </w:p>
        </w:tc>
        <w:tc>
          <w:tcPr>
            <w:tcW w:w="2726" w:type="dxa"/>
            <w:tcBorders>
              <w:bottom w:val="nil"/>
            </w:tcBorders>
            <w:shd w:val="clear" w:color="auto" w:fill="auto"/>
            <w:noWrap/>
            <w:vAlign w:val="bottom"/>
            <w:hideMark/>
          </w:tcPr>
          <w:p w14:paraId="35E90D55"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pH</w:t>
            </w:r>
          </w:p>
        </w:tc>
        <w:tc>
          <w:tcPr>
            <w:tcW w:w="1091" w:type="dxa"/>
            <w:tcBorders>
              <w:bottom w:val="nil"/>
            </w:tcBorders>
            <w:shd w:val="clear" w:color="auto" w:fill="auto"/>
            <w:noWrap/>
            <w:vAlign w:val="bottom"/>
            <w:hideMark/>
          </w:tcPr>
          <w:p w14:paraId="48B14CCC"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3.85±0.02</w:t>
            </w:r>
            <w:r w:rsidRPr="003B12F4">
              <w:rPr>
                <w:rFonts w:cs="Arial"/>
                <w:color w:val="000000"/>
                <w:szCs w:val="18"/>
                <w:vertAlign w:val="superscript"/>
                <w:lang w:val="it-IT" w:eastAsia="it-IT"/>
              </w:rPr>
              <w:t>a</w:t>
            </w:r>
          </w:p>
        </w:tc>
        <w:tc>
          <w:tcPr>
            <w:tcW w:w="1193" w:type="dxa"/>
            <w:tcBorders>
              <w:bottom w:val="nil"/>
            </w:tcBorders>
            <w:shd w:val="clear" w:color="auto" w:fill="auto"/>
            <w:noWrap/>
            <w:vAlign w:val="bottom"/>
            <w:hideMark/>
          </w:tcPr>
          <w:p w14:paraId="54DBFC8F"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4.48±0.03</w:t>
            </w:r>
            <w:r w:rsidRPr="003B12F4">
              <w:rPr>
                <w:rFonts w:cs="Arial"/>
                <w:color w:val="000000"/>
                <w:szCs w:val="18"/>
                <w:vertAlign w:val="superscript"/>
                <w:lang w:val="it-IT" w:eastAsia="it-IT"/>
              </w:rPr>
              <w:t>c</w:t>
            </w:r>
          </w:p>
        </w:tc>
        <w:tc>
          <w:tcPr>
            <w:tcW w:w="1216" w:type="dxa"/>
            <w:tcBorders>
              <w:bottom w:val="nil"/>
            </w:tcBorders>
            <w:shd w:val="clear" w:color="auto" w:fill="auto"/>
            <w:noWrap/>
            <w:vAlign w:val="bottom"/>
            <w:hideMark/>
          </w:tcPr>
          <w:p w14:paraId="1674DA9C"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4.56±0.01</w:t>
            </w:r>
            <w:r w:rsidRPr="003B12F4">
              <w:rPr>
                <w:rFonts w:cs="Arial"/>
                <w:color w:val="000000"/>
                <w:szCs w:val="18"/>
                <w:vertAlign w:val="superscript"/>
                <w:lang w:val="it-IT" w:eastAsia="it-IT"/>
              </w:rPr>
              <w:t>c</w:t>
            </w:r>
          </w:p>
        </w:tc>
        <w:tc>
          <w:tcPr>
            <w:tcW w:w="1100" w:type="dxa"/>
            <w:tcBorders>
              <w:bottom w:val="nil"/>
            </w:tcBorders>
            <w:shd w:val="clear" w:color="auto" w:fill="auto"/>
            <w:noWrap/>
            <w:vAlign w:val="bottom"/>
            <w:hideMark/>
          </w:tcPr>
          <w:p w14:paraId="1BF3524A"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4.20±0.02</w:t>
            </w:r>
            <w:r w:rsidRPr="003B12F4">
              <w:rPr>
                <w:rFonts w:cs="Arial"/>
                <w:color w:val="000000"/>
                <w:szCs w:val="18"/>
                <w:vertAlign w:val="superscript"/>
                <w:lang w:val="it-IT" w:eastAsia="it-IT"/>
              </w:rPr>
              <w:t>b</w:t>
            </w:r>
          </w:p>
        </w:tc>
        <w:tc>
          <w:tcPr>
            <w:tcW w:w="1100" w:type="dxa"/>
            <w:tcBorders>
              <w:bottom w:val="nil"/>
            </w:tcBorders>
            <w:shd w:val="clear" w:color="auto" w:fill="auto"/>
            <w:noWrap/>
            <w:vAlign w:val="bottom"/>
            <w:hideMark/>
          </w:tcPr>
          <w:p w14:paraId="60A89C86"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4.24±0.08</w:t>
            </w:r>
            <w:r w:rsidRPr="003B12F4">
              <w:rPr>
                <w:rFonts w:cs="Arial"/>
                <w:color w:val="000000"/>
                <w:szCs w:val="18"/>
                <w:vertAlign w:val="superscript"/>
                <w:lang w:val="it-IT" w:eastAsia="it-IT"/>
              </w:rPr>
              <w:t>b</w:t>
            </w:r>
          </w:p>
        </w:tc>
      </w:tr>
      <w:tr w:rsidR="00B1383E" w:rsidRPr="00134C89" w14:paraId="5E0F756A" w14:textId="77777777" w:rsidTr="00FB1B25">
        <w:trPr>
          <w:trHeight w:val="290"/>
        </w:trPr>
        <w:tc>
          <w:tcPr>
            <w:tcW w:w="960" w:type="dxa"/>
            <w:tcBorders>
              <w:bottom w:val="nil"/>
            </w:tcBorders>
            <w:shd w:val="clear" w:color="auto" w:fill="auto"/>
            <w:noWrap/>
            <w:vAlign w:val="bottom"/>
            <w:hideMark/>
          </w:tcPr>
          <w:p w14:paraId="20580B31" w14:textId="77777777" w:rsidR="00ED67E7" w:rsidRPr="003B12F4" w:rsidRDefault="00ED67E7" w:rsidP="00ED67E7">
            <w:pPr>
              <w:tabs>
                <w:tab w:val="clear" w:pos="7100"/>
              </w:tabs>
              <w:spacing w:line="240" w:lineRule="auto"/>
              <w:jc w:val="left"/>
              <w:rPr>
                <w:rFonts w:cs="Arial"/>
                <w:color w:val="000000"/>
                <w:szCs w:val="18"/>
                <w:lang w:val="it-IT" w:eastAsia="it-IT"/>
              </w:rPr>
            </w:pPr>
          </w:p>
        </w:tc>
        <w:tc>
          <w:tcPr>
            <w:tcW w:w="2726" w:type="dxa"/>
            <w:tcBorders>
              <w:bottom w:val="nil"/>
            </w:tcBorders>
            <w:shd w:val="clear" w:color="auto" w:fill="auto"/>
            <w:noWrap/>
            <w:vAlign w:val="bottom"/>
            <w:hideMark/>
          </w:tcPr>
          <w:p w14:paraId="6CB2277F"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TSS</w:t>
            </w:r>
          </w:p>
        </w:tc>
        <w:tc>
          <w:tcPr>
            <w:tcW w:w="1091" w:type="dxa"/>
            <w:tcBorders>
              <w:bottom w:val="nil"/>
            </w:tcBorders>
            <w:shd w:val="clear" w:color="auto" w:fill="auto"/>
            <w:noWrap/>
            <w:vAlign w:val="bottom"/>
            <w:hideMark/>
          </w:tcPr>
          <w:p w14:paraId="09A22508"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6.1±0.2</w:t>
            </w:r>
            <w:r w:rsidRPr="003B12F4">
              <w:rPr>
                <w:rFonts w:cs="Arial"/>
                <w:color w:val="000000"/>
                <w:szCs w:val="18"/>
                <w:vertAlign w:val="superscript"/>
                <w:lang w:val="it-IT" w:eastAsia="it-IT"/>
              </w:rPr>
              <w:t>a</w:t>
            </w:r>
          </w:p>
        </w:tc>
        <w:tc>
          <w:tcPr>
            <w:tcW w:w="1193" w:type="dxa"/>
            <w:tcBorders>
              <w:bottom w:val="nil"/>
            </w:tcBorders>
            <w:shd w:val="clear" w:color="auto" w:fill="auto"/>
            <w:noWrap/>
            <w:vAlign w:val="bottom"/>
            <w:hideMark/>
          </w:tcPr>
          <w:p w14:paraId="2C735AFB"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5.7±0.5</w:t>
            </w:r>
            <w:r w:rsidRPr="003B12F4">
              <w:rPr>
                <w:rFonts w:cs="Arial"/>
                <w:color w:val="000000"/>
                <w:szCs w:val="18"/>
                <w:vertAlign w:val="superscript"/>
                <w:lang w:val="it-IT" w:eastAsia="it-IT"/>
              </w:rPr>
              <w:t>a</w:t>
            </w:r>
          </w:p>
        </w:tc>
        <w:tc>
          <w:tcPr>
            <w:tcW w:w="1216" w:type="dxa"/>
            <w:tcBorders>
              <w:bottom w:val="nil"/>
            </w:tcBorders>
            <w:shd w:val="clear" w:color="auto" w:fill="auto"/>
            <w:noWrap/>
            <w:vAlign w:val="bottom"/>
            <w:hideMark/>
          </w:tcPr>
          <w:p w14:paraId="60761610"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5.7±0.4</w:t>
            </w:r>
            <w:r w:rsidRPr="003B12F4">
              <w:rPr>
                <w:rFonts w:cs="Arial"/>
                <w:color w:val="000000"/>
                <w:szCs w:val="18"/>
                <w:vertAlign w:val="superscript"/>
                <w:lang w:val="it-IT" w:eastAsia="it-IT"/>
              </w:rPr>
              <w:t>a</w:t>
            </w:r>
          </w:p>
        </w:tc>
        <w:tc>
          <w:tcPr>
            <w:tcW w:w="1100" w:type="dxa"/>
            <w:tcBorders>
              <w:bottom w:val="nil"/>
            </w:tcBorders>
            <w:shd w:val="clear" w:color="auto" w:fill="auto"/>
            <w:noWrap/>
            <w:vAlign w:val="bottom"/>
            <w:hideMark/>
          </w:tcPr>
          <w:p w14:paraId="2D395D93"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6.1±1.5</w:t>
            </w:r>
            <w:r w:rsidRPr="003B12F4">
              <w:rPr>
                <w:rFonts w:cs="Arial"/>
                <w:color w:val="000000"/>
                <w:szCs w:val="18"/>
                <w:vertAlign w:val="superscript"/>
                <w:lang w:val="it-IT" w:eastAsia="it-IT"/>
              </w:rPr>
              <w:t>a</w:t>
            </w:r>
          </w:p>
        </w:tc>
        <w:tc>
          <w:tcPr>
            <w:tcW w:w="1100" w:type="dxa"/>
            <w:tcBorders>
              <w:bottom w:val="nil"/>
            </w:tcBorders>
            <w:shd w:val="clear" w:color="auto" w:fill="auto"/>
            <w:noWrap/>
            <w:vAlign w:val="bottom"/>
            <w:hideMark/>
          </w:tcPr>
          <w:p w14:paraId="0CC78A40"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5.5±0.3</w:t>
            </w:r>
            <w:r w:rsidRPr="003B12F4">
              <w:rPr>
                <w:rFonts w:cs="Arial"/>
                <w:color w:val="000000"/>
                <w:szCs w:val="18"/>
                <w:vertAlign w:val="superscript"/>
                <w:lang w:val="it-IT" w:eastAsia="it-IT"/>
              </w:rPr>
              <w:t>a</w:t>
            </w:r>
          </w:p>
        </w:tc>
      </w:tr>
      <w:tr w:rsidR="00B1383E" w:rsidRPr="00134C89" w14:paraId="763D35F2" w14:textId="77777777" w:rsidTr="00FB1B25">
        <w:trPr>
          <w:trHeight w:val="290"/>
        </w:trPr>
        <w:tc>
          <w:tcPr>
            <w:tcW w:w="960" w:type="dxa"/>
            <w:tcBorders>
              <w:bottom w:val="nil"/>
            </w:tcBorders>
            <w:shd w:val="clear" w:color="auto" w:fill="auto"/>
            <w:noWrap/>
            <w:vAlign w:val="bottom"/>
            <w:hideMark/>
          </w:tcPr>
          <w:p w14:paraId="12185E3E" w14:textId="77777777" w:rsidR="00ED67E7" w:rsidRPr="003B12F4" w:rsidRDefault="00ED67E7" w:rsidP="00ED67E7">
            <w:pPr>
              <w:tabs>
                <w:tab w:val="clear" w:pos="7100"/>
              </w:tabs>
              <w:spacing w:line="240" w:lineRule="auto"/>
              <w:jc w:val="left"/>
              <w:rPr>
                <w:rFonts w:cs="Arial"/>
                <w:color w:val="000000"/>
                <w:szCs w:val="18"/>
                <w:lang w:val="it-IT" w:eastAsia="it-IT"/>
              </w:rPr>
            </w:pPr>
          </w:p>
        </w:tc>
        <w:tc>
          <w:tcPr>
            <w:tcW w:w="2726" w:type="dxa"/>
            <w:tcBorders>
              <w:bottom w:val="nil"/>
            </w:tcBorders>
            <w:shd w:val="clear" w:color="auto" w:fill="auto"/>
            <w:noWrap/>
            <w:vAlign w:val="bottom"/>
            <w:hideMark/>
          </w:tcPr>
          <w:p w14:paraId="4BE4383B" w14:textId="77777777" w:rsidR="00ED67E7" w:rsidRPr="003B12F4" w:rsidRDefault="00ED67E7" w:rsidP="00ED67E7">
            <w:pPr>
              <w:tabs>
                <w:tab w:val="clear" w:pos="7100"/>
              </w:tabs>
              <w:spacing w:line="240" w:lineRule="auto"/>
              <w:jc w:val="left"/>
              <w:rPr>
                <w:rFonts w:cs="Arial"/>
                <w:color w:val="000000"/>
                <w:szCs w:val="18"/>
                <w:lang w:val="it-IT" w:eastAsia="it-IT"/>
              </w:rPr>
            </w:pPr>
            <w:proofErr w:type="spellStart"/>
            <w:r w:rsidRPr="003B12F4">
              <w:rPr>
                <w:rFonts w:cs="Arial"/>
                <w:color w:val="000000"/>
                <w:szCs w:val="18"/>
                <w:lang w:val="it-IT" w:eastAsia="it-IT"/>
              </w:rPr>
              <w:t>Firmness</w:t>
            </w:r>
            <w:proofErr w:type="spellEnd"/>
            <w:r w:rsidRPr="003B12F4">
              <w:rPr>
                <w:rFonts w:cs="Arial"/>
                <w:color w:val="000000"/>
                <w:szCs w:val="18"/>
                <w:lang w:val="it-IT" w:eastAsia="it-IT"/>
              </w:rPr>
              <w:t xml:space="preserve"> (N)</w:t>
            </w:r>
          </w:p>
        </w:tc>
        <w:tc>
          <w:tcPr>
            <w:tcW w:w="1091" w:type="dxa"/>
            <w:tcBorders>
              <w:bottom w:val="nil"/>
            </w:tcBorders>
            <w:shd w:val="clear" w:color="auto" w:fill="auto"/>
            <w:noWrap/>
            <w:vAlign w:val="bottom"/>
            <w:hideMark/>
          </w:tcPr>
          <w:p w14:paraId="0D4E02C2"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24±1</w:t>
            </w:r>
            <w:r w:rsidRPr="003B12F4">
              <w:rPr>
                <w:rFonts w:cs="Arial"/>
                <w:color w:val="000000"/>
                <w:szCs w:val="18"/>
                <w:vertAlign w:val="superscript"/>
                <w:lang w:val="it-IT" w:eastAsia="it-IT"/>
              </w:rPr>
              <w:t>b</w:t>
            </w:r>
          </w:p>
        </w:tc>
        <w:tc>
          <w:tcPr>
            <w:tcW w:w="1193" w:type="dxa"/>
            <w:tcBorders>
              <w:bottom w:val="nil"/>
            </w:tcBorders>
            <w:shd w:val="clear" w:color="auto" w:fill="auto"/>
            <w:noWrap/>
            <w:vAlign w:val="bottom"/>
            <w:hideMark/>
          </w:tcPr>
          <w:p w14:paraId="04CC7F5B"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24±3</w:t>
            </w:r>
            <w:r w:rsidRPr="003B12F4">
              <w:rPr>
                <w:rFonts w:cs="Arial"/>
                <w:color w:val="000000"/>
                <w:szCs w:val="18"/>
                <w:vertAlign w:val="superscript"/>
                <w:lang w:val="it-IT" w:eastAsia="it-IT"/>
              </w:rPr>
              <w:t>b</w:t>
            </w:r>
          </w:p>
        </w:tc>
        <w:tc>
          <w:tcPr>
            <w:tcW w:w="1216" w:type="dxa"/>
            <w:tcBorders>
              <w:bottom w:val="nil"/>
            </w:tcBorders>
            <w:shd w:val="clear" w:color="auto" w:fill="auto"/>
            <w:noWrap/>
            <w:vAlign w:val="bottom"/>
            <w:hideMark/>
          </w:tcPr>
          <w:p w14:paraId="343E8659"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22±2</w:t>
            </w:r>
            <w:r w:rsidRPr="003B12F4">
              <w:rPr>
                <w:rFonts w:cs="Arial"/>
                <w:color w:val="000000"/>
                <w:szCs w:val="18"/>
                <w:vertAlign w:val="superscript"/>
                <w:lang w:val="it-IT" w:eastAsia="it-IT"/>
              </w:rPr>
              <w:t>ab</w:t>
            </w:r>
          </w:p>
        </w:tc>
        <w:tc>
          <w:tcPr>
            <w:tcW w:w="1100" w:type="dxa"/>
            <w:tcBorders>
              <w:bottom w:val="nil"/>
            </w:tcBorders>
            <w:shd w:val="clear" w:color="auto" w:fill="auto"/>
            <w:noWrap/>
            <w:vAlign w:val="bottom"/>
            <w:hideMark/>
          </w:tcPr>
          <w:p w14:paraId="5DB4D853"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22±3</w:t>
            </w:r>
            <w:r w:rsidRPr="003B12F4">
              <w:rPr>
                <w:rFonts w:cs="Arial"/>
                <w:color w:val="000000"/>
                <w:szCs w:val="18"/>
                <w:vertAlign w:val="superscript"/>
                <w:lang w:val="it-IT" w:eastAsia="it-IT"/>
              </w:rPr>
              <w:t>ab</w:t>
            </w:r>
          </w:p>
        </w:tc>
        <w:tc>
          <w:tcPr>
            <w:tcW w:w="1100" w:type="dxa"/>
            <w:tcBorders>
              <w:bottom w:val="nil"/>
            </w:tcBorders>
            <w:shd w:val="clear" w:color="auto" w:fill="auto"/>
            <w:noWrap/>
            <w:vAlign w:val="bottom"/>
            <w:hideMark/>
          </w:tcPr>
          <w:p w14:paraId="7DDBD9BD" w14:textId="77777777" w:rsidR="00ED67E7" w:rsidRPr="003B12F4" w:rsidRDefault="00ED67E7" w:rsidP="00ED67E7">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20±3</w:t>
            </w:r>
            <w:r w:rsidRPr="003B12F4">
              <w:rPr>
                <w:rFonts w:cs="Arial"/>
                <w:color w:val="000000"/>
                <w:szCs w:val="18"/>
                <w:vertAlign w:val="superscript"/>
                <w:lang w:val="it-IT" w:eastAsia="it-IT"/>
              </w:rPr>
              <w:t>a</w:t>
            </w:r>
          </w:p>
        </w:tc>
      </w:tr>
      <w:tr w:rsidR="00D42796" w:rsidRPr="00134C89" w14:paraId="04C14C16" w14:textId="77777777" w:rsidTr="00FB1B25">
        <w:trPr>
          <w:trHeight w:val="290"/>
        </w:trPr>
        <w:tc>
          <w:tcPr>
            <w:tcW w:w="960" w:type="dxa"/>
            <w:tcBorders>
              <w:top w:val="nil"/>
              <w:bottom w:val="nil"/>
            </w:tcBorders>
            <w:shd w:val="clear" w:color="auto" w:fill="auto"/>
            <w:noWrap/>
            <w:vAlign w:val="bottom"/>
          </w:tcPr>
          <w:p w14:paraId="122CF1E9" w14:textId="77777777" w:rsidR="00D42796" w:rsidRPr="003B12F4" w:rsidRDefault="00D42796" w:rsidP="00D42796">
            <w:pPr>
              <w:tabs>
                <w:tab w:val="clear" w:pos="7100"/>
              </w:tabs>
              <w:spacing w:line="240" w:lineRule="auto"/>
              <w:jc w:val="left"/>
              <w:rPr>
                <w:rFonts w:cs="Arial"/>
                <w:color w:val="000000"/>
                <w:szCs w:val="18"/>
                <w:lang w:val="it-IT" w:eastAsia="it-IT"/>
              </w:rPr>
            </w:pPr>
          </w:p>
        </w:tc>
        <w:tc>
          <w:tcPr>
            <w:tcW w:w="2726" w:type="dxa"/>
            <w:tcBorders>
              <w:top w:val="nil"/>
              <w:bottom w:val="nil"/>
            </w:tcBorders>
            <w:shd w:val="clear" w:color="auto" w:fill="auto"/>
            <w:noWrap/>
            <w:vAlign w:val="bottom"/>
          </w:tcPr>
          <w:p w14:paraId="61493994" w14:textId="1A3BF10E" w:rsidR="00D42796" w:rsidRPr="00D20840" w:rsidRDefault="00D42796" w:rsidP="00D42796">
            <w:pPr>
              <w:tabs>
                <w:tab w:val="clear" w:pos="7100"/>
              </w:tabs>
              <w:spacing w:line="240" w:lineRule="auto"/>
              <w:jc w:val="left"/>
              <w:rPr>
                <w:rFonts w:cs="Arial"/>
                <w:color w:val="000000"/>
                <w:szCs w:val="18"/>
                <w:lang w:eastAsia="it-IT"/>
              </w:rPr>
            </w:pPr>
            <w:r w:rsidRPr="000538D4">
              <w:rPr>
                <w:rFonts w:cs="Arial"/>
                <w:color w:val="000000"/>
                <w:szCs w:val="18"/>
                <w:lang w:eastAsia="it-IT"/>
              </w:rPr>
              <w:t xml:space="preserve">AA (mg TROLOX </w:t>
            </w:r>
            <w:proofErr w:type="spellStart"/>
            <w:r w:rsidRPr="000538D4">
              <w:rPr>
                <w:rFonts w:cs="Arial"/>
                <w:color w:val="000000"/>
                <w:szCs w:val="18"/>
                <w:lang w:eastAsia="it-IT"/>
              </w:rPr>
              <w:t>eq</w:t>
            </w:r>
            <w:proofErr w:type="spellEnd"/>
            <w:r w:rsidRPr="000538D4">
              <w:rPr>
                <w:rFonts w:cs="Arial"/>
                <w:color w:val="000000"/>
                <w:szCs w:val="18"/>
                <w:lang w:eastAsia="it-IT"/>
              </w:rPr>
              <w:t>/g sam</w:t>
            </w:r>
            <w:r>
              <w:rPr>
                <w:rFonts w:cs="Arial"/>
                <w:color w:val="000000"/>
                <w:szCs w:val="18"/>
                <w:lang w:eastAsia="it-IT"/>
              </w:rPr>
              <w:t>ple)</w:t>
            </w:r>
          </w:p>
        </w:tc>
        <w:tc>
          <w:tcPr>
            <w:tcW w:w="1091" w:type="dxa"/>
            <w:tcBorders>
              <w:top w:val="nil"/>
              <w:bottom w:val="nil"/>
            </w:tcBorders>
            <w:shd w:val="clear" w:color="auto" w:fill="auto"/>
            <w:noWrap/>
            <w:vAlign w:val="bottom"/>
          </w:tcPr>
          <w:p w14:paraId="5132DCF9" w14:textId="4D3E7472" w:rsidR="00D42796" w:rsidRPr="00D20840" w:rsidRDefault="00D42796" w:rsidP="00D42796">
            <w:pPr>
              <w:tabs>
                <w:tab w:val="clear" w:pos="7100"/>
              </w:tabs>
              <w:spacing w:line="240" w:lineRule="auto"/>
              <w:jc w:val="left"/>
              <w:rPr>
                <w:rFonts w:cs="Arial"/>
                <w:color w:val="000000"/>
                <w:szCs w:val="18"/>
                <w:lang w:eastAsia="it-IT"/>
              </w:rPr>
            </w:pPr>
            <w:r>
              <w:rPr>
                <w:rFonts w:cs="Arial"/>
                <w:color w:val="000000"/>
                <w:szCs w:val="18"/>
                <w:lang w:eastAsia="it-IT"/>
              </w:rPr>
              <w:t>0.09</w:t>
            </w:r>
            <w:r w:rsidRPr="003B12F4">
              <w:rPr>
                <w:rFonts w:cs="Arial"/>
                <w:color w:val="000000"/>
                <w:szCs w:val="18"/>
                <w:lang w:val="it-IT" w:eastAsia="it-IT"/>
              </w:rPr>
              <w:t>±</w:t>
            </w:r>
            <w:r>
              <w:rPr>
                <w:rFonts w:cs="Arial"/>
                <w:color w:val="000000"/>
                <w:szCs w:val="18"/>
                <w:lang w:val="it-IT" w:eastAsia="it-IT"/>
              </w:rPr>
              <w:t>0.01</w:t>
            </w:r>
            <w:r w:rsidRPr="00284C41">
              <w:rPr>
                <w:rFonts w:cs="Arial"/>
                <w:color w:val="000000"/>
                <w:szCs w:val="18"/>
                <w:vertAlign w:val="superscript"/>
                <w:lang w:val="it-IT" w:eastAsia="it-IT"/>
              </w:rPr>
              <w:t>a</w:t>
            </w:r>
          </w:p>
        </w:tc>
        <w:tc>
          <w:tcPr>
            <w:tcW w:w="1193" w:type="dxa"/>
            <w:tcBorders>
              <w:top w:val="nil"/>
              <w:bottom w:val="nil"/>
            </w:tcBorders>
            <w:shd w:val="clear" w:color="auto" w:fill="auto"/>
            <w:noWrap/>
            <w:vAlign w:val="bottom"/>
          </w:tcPr>
          <w:p w14:paraId="2754201D" w14:textId="34D23715" w:rsidR="00D42796" w:rsidRPr="00D20840" w:rsidRDefault="00D42796" w:rsidP="00D42796">
            <w:pPr>
              <w:tabs>
                <w:tab w:val="clear" w:pos="7100"/>
              </w:tabs>
              <w:spacing w:line="240" w:lineRule="auto"/>
              <w:jc w:val="left"/>
              <w:rPr>
                <w:rFonts w:cs="Arial"/>
                <w:color w:val="000000"/>
                <w:szCs w:val="18"/>
                <w:lang w:eastAsia="it-IT"/>
              </w:rPr>
            </w:pPr>
            <w:r>
              <w:rPr>
                <w:rFonts w:cs="Arial"/>
                <w:color w:val="000000"/>
                <w:szCs w:val="18"/>
                <w:lang w:eastAsia="it-IT"/>
              </w:rPr>
              <w:t>0.12</w:t>
            </w:r>
            <w:r w:rsidRPr="003B12F4">
              <w:rPr>
                <w:rFonts w:cs="Arial"/>
                <w:color w:val="000000"/>
                <w:szCs w:val="18"/>
                <w:lang w:val="it-IT" w:eastAsia="it-IT"/>
              </w:rPr>
              <w:t>±</w:t>
            </w:r>
            <w:r>
              <w:rPr>
                <w:rFonts w:cs="Arial"/>
                <w:color w:val="000000"/>
                <w:szCs w:val="18"/>
                <w:lang w:val="it-IT" w:eastAsia="it-IT"/>
              </w:rPr>
              <w:t>0.06</w:t>
            </w:r>
            <w:r w:rsidRPr="00D20840">
              <w:rPr>
                <w:rFonts w:cs="Arial"/>
                <w:color w:val="000000"/>
                <w:szCs w:val="18"/>
                <w:vertAlign w:val="superscript"/>
                <w:lang w:val="it-IT" w:eastAsia="it-IT"/>
              </w:rPr>
              <w:t>a</w:t>
            </w:r>
          </w:p>
        </w:tc>
        <w:tc>
          <w:tcPr>
            <w:tcW w:w="1216" w:type="dxa"/>
            <w:tcBorders>
              <w:top w:val="nil"/>
              <w:bottom w:val="nil"/>
            </w:tcBorders>
            <w:shd w:val="clear" w:color="auto" w:fill="auto"/>
            <w:noWrap/>
            <w:vAlign w:val="bottom"/>
          </w:tcPr>
          <w:p w14:paraId="6160C256" w14:textId="7C6C7F5E" w:rsidR="00D42796" w:rsidRPr="00D20840" w:rsidRDefault="00D42796" w:rsidP="00D42796">
            <w:pPr>
              <w:tabs>
                <w:tab w:val="clear" w:pos="7100"/>
              </w:tabs>
              <w:spacing w:line="240" w:lineRule="auto"/>
              <w:jc w:val="left"/>
              <w:rPr>
                <w:rFonts w:cs="Arial"/>
                <w:color w:val="000000"/>
                <w:szCs w:val="18"/>
                <w:lang w:eastAsia="it-IT"/>
              </w:rPr>
            </w:pPr>
            <w:r>
              <w:rPr>
                <w:rFonts w:cs="Arial"/>
                <w:color w:val="000000"/>
                <w:szCs w:val="18"/>
                <w:lang w:eastAsia="it-IT"/>
              </w:rPr>
              <w:t>0.34</w:t>
            </w:r>
            <w:r w:rsidRPr="003B12F4">
              <w:rPr>
                <w:rFonts w:cs="Arial"/>
                <w:color w:val="000000"/>
                <w:szCs w:val="18"/>
                <w:lang w:val="it-IT" w:eastAsia="it-IT"/>
              </w:rPr>
              <w:t>±</w:t>
            </w:r>
            <w:r>
              <w:rPr>
                <w:rFonts w:cs="Arial"/>
                <w:color w:val="000000"/>
                <w:szCs w:val="18"/>
                <w:lang w:val="it-IT" w:eastAsia="it-IT"/>
              </w:rPr>
              <w:t>0.03</w:t>
            </w:r>
            <w:r w:rsidRPr="00D20840">
              <w:rPr>
                <w:rFonts w:cs="Arial"/>
                <w:color w:val="000000"/>
                <w:szCs w:val="18"/>
                <w:vertAlign w:val="superscript"/>
                <w:lang w:val="it-IT" w:eastAsia="it-IT"/>
              </w:rPr>
              <w:t>c</w:t>
            </w:r>
          </w:p>
        </w:tc>
        <w:tc>
          <w:tcPr>
            <w:tcW w:w="1100" w:type="dxa"/>
            <w:tcBorders>
              <w:top w:val="nil"/>
              <w:bottom w:val="nil"/>
            </w:tcBorders>
            <w:shd w:val="clear" w:color="auto" w:fill="auto"/>
            <w:noWrap/>
            <w:vAlign w:val="bottom"/>
          </w:tcPr>
          <w:p w14:paraId="580C5A39" w14:textId="2FD7CA8D" w:rsidR="00D42796" w:rsidRPr="00D20840" w:rsidRDefault="00D42796" w:rsidP="00D42796">
            <w:pPr>
              <w:tabs>
                <w:tab w:val="clear" w:pos="7100"/>
              </w:tabs>
              <w:spacing w:line="240" w:lineRule="auto"/>
              <w:jc w:val="left"/>
              <w:rPr>
                <w:rFonts w:cs="Arial"/>
                <w:color w:val="000000"/>
                <w:szCs w:val="18"/>
                <w:lang w:eastAsia="it-IT"/>
              </w:rPr>
            </w:pPr>
            <w:r>
              <w:rPr>
                <w:rFonts w:cs="Arial"/>
                <w:color w:val="000000"/>
                <w:szCs w:val="18"/>
                <w:lang w:eastAsia="it-IT"/>
              </w:rPr>
              <w:t>0.26</w:t>
            </w:r>
            <w:r w:rsidRPr="003B12F4">
              <w:rPr>
                <w:rFonts w:cs="Arial"/>
                <w:color w:val="000000"/>
                <w:szCs w:val="18"/>
                <w:lang w:val="it-IT" w:eastAsia="it-IT"/>
              </w:rPr>
              <w:t>±</w:t>
            </w:r>
            <w:r>
              <w:rPr>
                <w:rFonts w:cs="Arial"/>
                <w:color w:val="000000"/>
                <w:szCs w:val="18"/>
                <w:lang w:val="it-IT" w:eastAsia="it-IT"/>
              </w:rPr>
              <w:t>0.08</w:t>
            </w:r>
            <w:r w:rsidRPr="00D20840">
              <w:rPr>
                <w:rFonts w:cs="Arial"/>
                <w:color w:val="000000"/>
                <w:szCs w:val="18"/>
                <w:vertAlign w:val="superscript"/>
                <w:lang w:val="it-IT" w:eastAsia="it-IT"/>
              </w:rPr>
              <w:t>b</w:t>
            </w:r>
          </w:p>
        </w:tc>
        <w:tc>
          <w:tcPr>
            <w:tcW w:w="1100" w:type="dxa"/>
            <w:tcBorders>
              <w:top w:val="nil"/>
              <w:bottom w:val="nil"/>
            </w:tcBorders>
            <w:shd w:val="clear" w:color="auto" w:fill="auto"/>
            <w:noWrap/>
            <w:vAlign w:val="bottom"/>
          </w:tcPr>
          <w:p w14:paraId="6CEE15A5" w14:textId="4C156B3F" w:rsidR="00D42796" w:rsidRPr="00D20840" w:rsidRDefault="00D42796" w:rsidP="00D42796">
            <w:pPr>
              <w:tabs>
                <w:tab w:val="clear" w:pos="7100"/>
              </w:tabs>
              <w:spacing w:line="240" w:lineRule="auto"/>
              <w:jc w:val="left"/>
              <w:rPr>
                <w:rFonts w:cs="Arial"/>
                <w:color w:val="000000"/>
                <w:szCs w:val="18"/>
                <w:lang w:eastAsia="it-IT"/>
              </w:rPr>
            </w:pPr>
            <w:r>
              <w:rPr>
                <w:rFonts w:cs="Arial"/>
                <w:color w:val="000000"/>
                <w:szCs w:val="18"/>
                <w:lang w:eastAsia="it-IT"/>
              </w:rPr>
              <w:t>0.17</w:t>
            </w:r>
            <w:r w:rsidRPr="003B12F4">
              <w:rPr>
                <w:rFonts w:cs="Arial"/>
                <w:color w:val="000000"/>
                <w:szCs w:val="18"/>
                <w:lang w:val="it-IT" w:eastAsia="it-IT"/>
              </w:rPr>
              <w:t>±</w:t>
            </w:r>
            <w:r>
              <w:rPr>
                <w:rFonts w:cs="Arial"/>
                <w:color w:val="000000"/>
                <w:szCs w:val="18"/>
                <w:lang w:val="it-IT" w:eastAsia="it-IT"/>
              </w:rPr>
              <w:t>0.08</w:t>
            </w:r>
            <w:r w:rsidRPr="00D20840">
              <w:rPr>
                <w:rFonts w:cs="Arial"/>
                <w:color w:val="000000"/>
                <w:szCs w:val="18"/>
                <w:vertAlign w:val="superscript"/>
                <w:lang w:val="it-IT" w:eastAsia="it-IT"/>
              </w:rPr>
              <w:t>ab</w:t>
            </w:r>
          </w:p>
        </w:tc>
      </w:tr>
      <w:tr w:rsidR="00E46297" w:rsidRPr="00134C89" w14:paraId="090A8D26" w14:textId="77777777" w:rsidTr="00FB1B25">
        <w:trPr>
          <w:trHeight w:val="290"/>
        </w:trPr>
        <w:tc>
          <w:tcPr>
            <w:tcW w:w="960" w:type="dxa"/>
            <w:tcBorders>
              <w:top w:val="nil"/>
              <w:bottom w:val="single" w:sz="6" w:space="0" w:color="008000"/>
            </w:tcBorders>
            <w:shd w:val="clear" w:color="auto" w:fill="auto"/>
            <w:noWrap/>
            <w:vAlign w:val="bottom"/>
          </w:tcPr>
          <w:p w14:paraId="1D922DE8" w14:textId="77777777" w:rsidR="00E46297" w:rsidRPr="003B12F4" w:rsidRDefault="00E46297" w:rsidP="00D42796">
            <w:pPr>
              <w:tabs>
                <w:tab w:val="clear" w:pos="7100"/>
              </w:tabs>
              <w:spacing w:line="240" w:lineRule="auto"/>
              <w:jc w:val="left"/>
              <w:rPr>
                <w:rFonts w:cs="Arial"/>
                <w:color w:val="000000"/>
                <w:szCs w:val="18"/>
                <w:lang w:val="it-IT" w:eastAsia="it-IT"/>
              </w:rPr>
            </w:pPr>
          </w:p>
        </w:tc>
        <w:tc>
          <w:tcPr>
            <w:tcW w:w="2726" w:type="dxa"/>
            <w:tcBorders>
              <w:top w:val="nil"/>
              <w:bottom w:val="single" w:sz="6" w:space="0" w:color="008000"/>
            </w:tcBorders>
            <w:shd w:val="clear" w:color="auto" w:fill="auto"/>
            <w:noWrap/>
            <w:vAlign w:val="bottom"/>
          </w:tcPr>
          <w:p w14:paraId="0BF7F0C1" w14:textId="49D038A2" w:rsidR="00E46297" w:rsidRPr="000538D4" w:rsidRDefault="00E46297" w:rsidP="00D42796">
            <w:pPr>
              <w:tabs>
                <w:tab w:val="clear" w:pos="7100"/>
              </w:tabs>
              <w:spacing w:line="240" w:lineRule="auto"/>
              <w:jc w:val="left"/>
              <w:rPr>
                <w:rFonts w:cs="Arial"/>
                <w:color w:val="000000"/>
                <w:szCs w:val="18"/>
                <w:lang w:eastAsia="it-IT"/>
              </w:rPr>
            </w:pPr>
            <w:r w:rsidRPr="00E46297">
              <w:rPr>
                <w:rFonts w:cs="Arial"/>
                <w:color w:val="000000"/>
                <w:szCs w:val="18"/>
                <w:lang w:eastAsia="it-IT"/>
              </w:rPr>
              <w:t>TPC (mg GAE/g sa</w:t>
            </w:r>
            <w:r w:rsidRPr="00284C41">
              <w:rPr>
                <w:rFonts w:cs="Arial"/>
                <w:color w:val="000000"/>
                <w:szCs w:val="18"/>
                <w:lang w:eastAsia="it-IT"/>
              </w:rPr>
              <w:t>mple</w:t>
            </w:r>
            <w:r>
              <w:rPr>
                <w:rFonts w:cs="Arial"/>
                <w:color w:val="000000"/>
                <w:szCs w:val="18"/>
                <w:lang w:eastAsia="it-IT"/>
              </w:rPr>
              <w:t>)</w:t>
            </w:r>
          </w:p>
        </w:tc>
        <w:tc>
          <w:tcPr>
            <w:tcW w:w="1091" w:type="dxa"/>
            <w:tcBorders>
              <w:top w:val="nil"/>
              <w:bottom w:val="single" w:sz="6" w:space="0" w:color="008000"/>
            </w:tcBorders>
            <w:shd w:val="clear" w:color="auto" w:fill="auto"/>
            <w:noWrap/>
            <w:vAlign w:val="bottom"/>
          </w:tcPr>
          <w:p w14:paraId="41DBDCED" w14:textId="19F222BF" w:rsidR="00E46297" w:rsidRDefault="00E46297" w:rsidP="00D42796">
            <w:pPr>
              <w:tabs>
                <w:tab w:val="clear" w:pos="7100"/>
              </w:tabs>
              <w:spacing w:line="240" w:lineRule="auto"/>
              <w:jc w:val="left"/>
              <w:rPr>
                <w:rFonts w:cs="Arial"/>
                <w:color w:val="000000"/>
                <w:szCs w:val="18"/>
                <w:lang w:eastAsia="it-IT"/>
              </w:rPr>
            </w:pPr>
            <w:r>
              <w:rPr>
                <w:rFonts w:cs="Arial"/>
                <w:color w:val="000000"/>
                <w:szCs w:val="18"/>
                <w:lang w:eastAsia="it-IT"/>
              </w:rPr>
              <w:t>0.97</w:t>
            </w:r>
            <w:r w:rsidRPr="003B12F4">
              <w:rPr>
                <w:rFonts w:cs="Arial"/>
                <w:color w:val="000000"/>
                <w:szCs w:val="18"/>
                <w:lang w:val="it-IT" w:eastAsia="it-IT"/>
              </w:rPr>
              <w:t>±</w:t>
            </w:r>
            <w:r>
              <w:rPr>
                <w:rFonts w:cs="Arial"/>
                <w:color w:val="000000"/>
                <w:szCs w:val="18"/>
                <w:lang w:val="it-IT" w:eastAsia="it-IT"/>
              </w:rPr>
              <w:t>0.01</w:t>
            </w:r>
            <w:r w:rsidRPr="00D20840">
              <w:rPr>
                <w:rFonts w:cs="Arial"/>
                <w:color w:val="000000"/>
                <w:szCs w:val="18"/>
                <w:vertAlign w:val="superscript"/>
                <w:lang w:val="it-IT" w:eastAsia="it-IT"/>
              </w:rPr>
              <w:t>a</w:t>
            </w:r>
          </w:p>
        </w:tc>
        <w:tc>
          <w:tcPr>
            <w:tcW w:w="1193" w:type="dxa"/>
            <w:tcBorders>
              <w:top w:val="nil"/>
              <w:bottom w:val="single" w:sz="6" w:space="0" w:color="008000"/>
            </w:tcBorders>
            <w:shd w:val="clear" w:color="auto" w:fill="auto"/>
            <w:noWrap/>
            <w:vAlign w:val="bottom"/>
          </w:tcPr>
          <w:p w14:paraId="2AB74E82" w14:textId="1E6F515E" w:rsidR="00E46297" w:rsidRDefault="00C75DBE" w:rsidP="00D42796">
            <w:pPr>
              <w:tabs>
                <w:tab w:val="clear" w:pos="7100"/>
              </w:tabs>
              <w:spacing w:line="240" w:lineRule="auto"/>
              <w:jc w:val="left"/>
              <w:rPr>
                <w:rFonts w:cs="Arial"/>
                <w:color w:val="000000"/>
                <w:szCs w:val="18"/>
                <w:lang w:eastAsia="it-IT"/>
              </w:rPr>
            </w:pPr>
            <w:r>
              <w:rPr>
                <w:rFonts w:cs="Arial"/>
                <w:color w:val="000000"/>
                <w:szCs w:val="18"/>
                <w:lang w:eastAsia="it-IT"/>
              </w:rPr>
              <w:t>0.99</w:t>
            </w:r>
            <w:r w:rsidRPr="003B12F4">
              <w:rPr>
                <w:rFonts w:cs="Arial"/>
                <w:color w:val="000000"/>
                <w:szCs w:val="18"/>
                <w:lang w:val="it-IT" w:eastAsia="it-IT"/>
              </w:rPr>
              <w:t>±</w:t>
            </w:r>
            <w:r>
              <w:rPr>
                <w:rFonts w:cs="Arial"/>
                <w:color w:val="000000"/>
                <w:szCs w:val="18"/>
                <w:lang w:val="it-IT" w:eastAsia="it-IT"/>
              </w:rPr>
              <w:t>0.01</w:t>
            </w:r>
            <w:r w:rsidRPr="00D20840">
              <w:rPr>
                <w:rFonts w:cs="Arial"/>
                <w:color w:val="000000"/>
                <w:szCs w:val="18"/>
                <w:vertAlign w:val="superscript"/>
                <w:lang w:val="it-IT" w:eastAsia="it-IT"/>
              </w:rPr>
              <w:t>a</w:t>
            </w:r>
          </w:p>
        </w:tc>
        <w:tc>
          <w:tcPr>
            <w:tcW w:w="1216" w:type="dxa"/>
            <w:tcBorders>
              <w:top w:val="nil"/>
              <w:bottom w:val="single" w:sz="6" w:space="0" w:color="008000"/>
            </w:tcBorders>
            <w:shd w:val="clear" w:color="auto" w:fill="auto"/>
            <w:noWrap/>
            <w:vAlign w:val="bottom"/>
          </w:tcPr>
          <w:p w14:paraId="554BA5F8" w14:textId="59BE91C9" w:rsidR="00E46297" w:rsidRPr="00D20840" w:rsidRDefault="00C75DBE" w:rsidP="00D42796">
            <w:pPr>
              <w:tabs>
                <w:tab w:val="clear" w:pos="7100"/>
              </w:tabs>
              <w:spacing w:line="240" w:lineRule="auto"/>
              <w:jc w:val="left"/>
              <w:rPr>
                <w:rFonts w:cs="Arial"/>
                <w:color w:val="000000"/>
                <w:szCs w:val="18"/>
                <w:vertAlign w:val="superscript"/>
                <w:lang w:eastAsia="it-IT"/>
              </w:rPr>
            </w:pPr>
            <w:r>
              <w:rPr>
                <w:rFonts w:cs="Arial"/>
                <w:color w:val="000000"/>
                <w:szCs w:val="18"/>
                <w:lang w:eastAsia="it-IT"/>
              </w:rPr>
              <w:t>1.16</w:t>
            </w:r>
            <w:r w:rsidRPr="003B12F4">
              <w:rPr>
                <w:rFonts w:cs="Arial"/>
                <w:color w:val="000000"/>
                <w:szCs w:val="18"/>
                <w:lang w:val="it-IT" w:eastAsia="it-IT"/>
              </w:rPr>
              <w:t>±</w:t>
            </w:r>
            <w:r>
              <w:rPr>
                <w:rFonts w:cs="Arial"/>
                <w:color w:val="000000"/>
                <w:szCs w:val="18"/>
                <w:lang w:val="it-IT" w:eastAsia="it-IT"/>
              </w:rPr>
              <w:t>0.01</w:t>
            </w:r>
            <w:r w:rsidRPr="00D20840">
              <w:rPr>
                <w:rFonts w:cs="Arial"/>
                <w:color w:val="000000"/>
                <w:szCs w:val="18"/>
                <w:vertAlign w:val="superscript"/>
                <w:lang w:val="it-IT" w:eastAsia="it-IT"/>
              </w:rPr>
              <w:t>c</w:t>
            </w:r>
          </w:p>
        </w:tc>
        <w:tc>
          <w:tcPr>
            <w:tcW w:w="1100" w:type="dxa"/>
            <w:tcBorders>
              <w:top w:val="nil"/>
              <w:bottom w:val="single" w:sz="6" w:space="0" w:color="008000"/>
            </w:tcBorders>
            <w:shd w:val="clear" w:color="auto" w:fill="auto"/>
            <w:noWrap/>
            <w:vAlign w:val="bottom"/>
          </w:tcPr>
          <w:p w14:paraId="522B05A4" w14:textId="266EFB8C" w:rsidR="00E46297" w:rsidRDefault="00D43E24" w:rsidP="00D42796">
            <w:pPr>
              <w:tabs>
                <w:tab w:val="clear" w:pos="7100"/>
              </w:tabs>
              <w:spacing w:line="240" w:lineRule="auto"/>
              <w:jc w:val="left"/>
              <w:rPr>
                <w:rFonts w:cs="Arial"/>
                <w:color w:val="000000"/>
                <w:szCs w:val="18"/>
                <w:lang w:eastAsia="it-IT"/>
              </w:rPr>
            </w:pPr>
            <w:r>
              <w:rPr>
                <w:rFonts w:cs="Arial"/>
                <w:color w:val="000000"/>
                <w:szCs w:val="18"/>
                <w:lang w:eastAsia="it-IT"/>
              </w:rPr>
              <w:t>0.96</w:t>
            </w:r>
            <w:r w:rsidRPr="003B12F4">
              <w:rPr>
                <w:rFonts w:cs="Arial"/>
                <w:color w:val="000000"/>
                <w:szCs w:val="18"/>
                <w:lang w:val="it-IT" w:eastAsia="it-IT"/>
              </w:rPr>
              <w:t>±</w:t>
            </w:r>
            <w:r>
              <w:rPr>
                <w:rFonts w:cs="Arial"/>
                <w:color w:val="000000"/>
                <w:szCs w:val="18"/>
                <w:lang w:val="it-IT" w:eastAsia="it-IT"/>
              </w:rPr>
              <w:t>0.02</w:t>
            </w:r>
            <w:r w:rsidRPr="00D20840">
              <w:rPr>
                <w:rFonts w:cs="Arial"/>
                <w:color w:val="000000"/>
                <w:szCs w:val="18"/>
                <w:vertAlign w:val="superscript"/>
                <w:lang w:val="it-IT" w:eastAsia="it-IT"/>
              </w:rPr>
              <w:t>a</w:t>
            </w:r>
          </w:p>
        </w:tc>
        <w:tc>
          <w:tcPr>
            <w:tcW w:w="1100" w:type="dxa"/>
            <w:tcBorders>
              <w:top w:val="nil"/>
              <w:bottom w:val="single" w:sz="6" w:space="0" w:color="008000"/>
            </w:tcBorders>
            <w:shd w:val="clear" w:color="auto" w:fill="auto"/>
            <w:noWrap/>
            <w:vAlign w:val="bottom"/>
          </w:tcPr>
          <w:p w14:paraId="578449A8" w14:textId="48803E87" w:rsidR="00E46297" w:rsidRDefault="00D43E24" w:rsidP="00D42796">
            <w:pPr>
              <w:tabs>
                <w:tab w:val="clear" w:pos="7100"/>
              </w:tabs>
              <w:spacing w:line="240" w:lineRule="auto"/>
              <w:jc w:val="left"/>
              <w:rPr>
                <w:rFonts w:cs="Arial"/>
                <w:color w:val="000000"/>
                <w:szCs w:val="18"/>
                <w:lang w:eastAsia="it-IT"/>
              </w:rPr>
            </w:pPr>
            <w:r>
              <w:rPr>
                <w:rFonts w:cs="Arial"/>
                <w:color w:val="000000"/>
                <w:szCs w:val="18"/>
                <w:lang w:eastAsia="it-IT"/>
              </w:rPr>
              <w:t>1.05</w:t>
            </w:r>
            <w:r w:rsidRPr="003B12F4">
              <w:rPr>
                <w:rFonts w:cs="Arial"/>
                <w:color w:val="000000"/>
                <w:szCs w:val="18"/>
                <w:lang w:val="it-IT" w:eastAsia="it-IT"/>
              </w:rPr>
              <w:t>±</w:t>
            </w:r>
            <w:r>
              <w:rPr>
                <w:rFonts w:cs="Arial"/>
                <w:color w:val="000000"/>
                <w:szCs w:val="18"/>
                <w:lang w:val="it-IT" w:eastAsia="it-IT"/>
              </w:rPr>
              <w:t>0.06</w:t>
            </w:r>
            <w:r w:rsidRPr="00D20840">
              <w:rPr>
                <w:rFonts w:cs="Arial"/>
                <w:color w:val="000000"/>
                <w:szCs w:val="18"/>
                <w:vertAlign w:val="superscript"/>
                <w:lang w:val="it-IT" w:eastAsia="it-IT"/>
              </w:rPr>
              <w:t>b</w:t>
            </w:r>
          </w:p>
        </w:tc>
      </w:tr>
      <w:tr w:rsidR="00D42796" w:rsidRPr="00134C89" w14:paraId="30A1CDC3" w14:textId="77777777" w:rsidTr="00FB1B25">
        <w:trPr>
          <w:trHeight w:val="290"/>
        </w:trPr>
        <w:tc>
          <w:tcPr>
            <w:tcW w:w="960" w:type="dxa"/>
            <w:tcBorders>
              <w:top w:val="single" w:sz="6" w:space="0" w:color="008000"/>
            </w:tcBorders>
            <w:shd w:val="clear" w:color="auto" w:fill="auto"/>
            <w:noWrap/>
            <w:vAlign w:val="bottom"/>
            <w:hideMark/>
          </w:tcPr>
          <w:p w14:paraId="254B82B8" w14:textId="77777777" w:rsidR="00D42796" w:rsidRPr="003B12F4" w:rsidRDefault="00D42796" w:rsidP="00D42796">
            <w:pPr>
              <w:tabs>
                <w:tab w:val="clear" w:pos="7100"/>
              </w:tabs>
              <w:spacing w:line="240" w:lineRule="auto"/>
              <w:jc w:val="left"/>
              <w:rPr>
                <w:rFonts w:cs="Arial"/>
                <w:color w:val="000000"/>
                <w:szCs w:val="18"/>
                <w:lang w:val="it-IT" w:eastAsia="it-IT"/>
              </w:rPr>
            </w:pPr>
            <w:proofErr w:type="spellStart"/>
            <w:r w:rsidRPr="003B12F4">
              <w:rPr>
                <w:rFonts w:cs="Arial"/>
                <w:color w:val="000000"/>
                <w:szCs w:val="18"/>
                <w:lang w:val="it-IT" w:eastAsia="it-IT"/>
              </w:rPr>
              <w:t>Treated</w:t>
            </w:r>
            <w:proofErr w:type="spellEnd"/>
          </w:p>
        </w:tc>
        <w:tc>
          <w:tcPr>
            <w:tcW w:w="2726" w:type="dxa"/>
            <w:tcBorders>
              <w:top w:val="single" w:sz="6" w:space="0" w:color="008000"/>
            </w:tcBorders>
            <w:shd w:val="clear" w:color="auto" w:fill="auto"/>
            <w:noWrap/>
            <w:vAlign w:val="bottom"/>
            <w:hideMark/>
          </w:tcPr>
          <w:p w14:paraId="5CE2A5C8" w14:textId="72BF411A"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L*</w:t>
            </w:r>
          </w:p>
        </w:tc>
        <w:tc>
          <w:tcPr>
            <w:tcW w:w="1091" w:type="dxa"/>
            <w:tcBorders>
              <w:top w:val="single" w:sz="6" w:space="0" w:color="008000"/>
            </w:tcBorders>
            <w:shd w:val="clear" w:color="auto" w:fill="auto"/>
            <w:noWrap/>
            <w:vAlign w:val="bottom"/>
            <w:hideMark/>
          </w:tcPr>
          <w:p w14:paraId="7DFEDACB"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42±1</w:t>
            </w:r>
            <w:r w:rsidRPr="00617892">
              <w:rPr>
                <w:rFonts w:cs="Arial"/>
                <w:color w:val="000000"/>
                <w:szCs w:val="18"/>
                <w:vertAlign w:val="superscript"/>
                <w:lang w:val="it-IT" w:eastAsia="it-IT"/>
              </w:rPr>
              <w:t>c</w:t>
            </w:r>
          </w:p>
        </w:tc>
        <w:tc>
          <w:tcPr>
            <w:tcW w:w="1193" w:type="dxa"/>
            <w:tcBorders>
              <w:top w:val="single" w:sz="6" w:space="0" w:color="008000"/>
            </w:tcBorders>
            <w:shd w:val="clear" w:color="auto" w:fill="auto"/>
            <w:noWrap/>
            <w:vAlign w:val="bottom"/>
            <w:hideMark/>
          </w:tcPr>
          <w:p w14:paraId="351CA897"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38±2</w:t>
            </w:r>
            <w:r w:rsidRPr="00617892">
              <w:rPr>
                <w:rFonts w:cs="Arial"/>
                <w:color w:val="000000"/>
                <w:szCs w:val="18"/>
                <w:vertAlign w:val="superscript"/>
                <w:lang w:val="it-IT" w:eastAsia="it-IT"/>
              </w:rPr>
              <w:t>b</w:t>
            </w:r>
          </w:p>
        </w:tc>
        <w:tc>
          <w:tcPr>
            <w:tcW w:w="1216" w:type="dxa"/>
            <w:tcBorders>
              <w:top w:val="single" w:sz="6" w:space="0" w:color="008000"/>
            </w:tcBorders>
            <w:shd w:val="clear" w:color="auto" w:fill="auto"/>
            <w:noWrap/>
            <w:vAlign w:val="bottom"/>
            <w:hideMark/>
          </w:tcPr>
          <w:p w14:paraId="277C72A9" w14:textId="15B34196"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39±2</w:t>
            </w:r>
            <w:r w:rsidR="00617892" w:rsidRPr="00617892">
              <w:rPr>
                <w:rFonts w:cs="Arial"/>
                <w:color w:val="000000"/>
                <w:szCs w:val="18"/>
                <w:vertAlign w:val="superscript"/>
                <w:lang w:val="it-IT" w:eastAsia="it-IT"/>
              </w:rPr>
              <w:t>b</w:t>
            </w:r>
          </w:p>
        </w:tc>
        <w:tc>
          <w:tcPr>
            <w:tcW w:w="1100" w:type="dxa"/>
            <w:tcBorders>
              <w:top w:val="single" w:sz="6" w:space="0" w:color="008000"/>
            </w:tcBorders>
            <w:shd w:val="clear" w:color="auto" w:fill="auto"/>
            <w:noWrap/>
            <w:vAlign w:val="bottom"/>
            <w:hideMark/>
          </w:tcPr>
          <w:p w14:paraId="6C479402"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37±2</w:t>
            </w:r>
            <w:r w:rsidRPr="00617892">
              <w:rPr>
                <w:rFonts w:cs="Arial"/>
                <w:color w:val="000000"/>
                <w:szCs w:val="18"/>
                <w:vertAlign w:val="superscript"/>
                <w:lang w:val="it-IT" w:eastAsia="it-IT"/>
              </w:rPr>
              <w:t>b</w:t>
            </w:r>
          </w:p>
        </w:tc>
        <w:tc>
          <w:tcPr>
            <w:tcW w:w="1100" w:type="dxa"/>
            <w:tcBorders>
              <w:top w:val="single" w:sz="6" w:space="0" w:color="008000"/>
            </w:tcBorders>
            <w:shd w:val="clear" w:color="auto" w:fill="auto"/>
            <w:noWrap/>
            <w:vAlign w:val="bottom"/>
            <w:hideMark/>
          </w:tcPr>
          <w:p w14:paraId="11061008"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34±2</w:t>
            </w:r>
            <w:r w:rsidRPr="00617892">
              <w:rPr>
                <w:rFonts w:cs="Arial"/>
                <w:color w:val="000000"/>
                <w:szCs w:val="18"/>
                <w:vertAlign w:val="superscript"/>
                <w:lang w:val="it-IT" w:eastAsia="it-IT"/>
              </w:rPr>
              <w:t>a</w:t>
            </w:r>
          </w:p>
        </w:tc>
      </w:tr>
      <w:tr w:rsidR="00D42796" w:rsidRPr="00134C89" w14:paraId="6CEB38FA" w14:textId="77777777" w:rsidTr="00FB1B25">
        <w:trPr>
          <w:trHeight w:val="290"/>
        </w:trPr>
        <w:tc>
          <w:tcPr>
            <w:tcW w:w="960" w:type="dxa"/>
            <w:shd w:val="clear" w:color="auto" w:fill="auto"/>
            <w:noWrap/>
            <w:vAlign w:val="bottom"/>
            <w:hideMark/>
          </w:tcPr>
          <w:p w14:paraId="4A5F76EC" w14:textId="77777777" w:rsidR="00D42796" w:rsidRPr="003B12F4" w:rsidRDefault="00D42796" w:rsidP="00D42796">
            <w:pPr>
              <w:tabs>
                <w:tab w:val="clear" w:pos="7100"/>
              </w:tabs>
              <w:spacing w:line="240" w:lineRule="auto"/>
              <w:jc w:val="left"/>
              <w:rPr>
                <w:rFonts w:cs="Arial"/>
                <w:color w:val="000000"/>
                <w:szCs w:val="18"/>
                <w:lang w:val="it-IT" w:eastAsia="it-IT"/>
              </w:rPr>
            </w:pPr>
          </w:p>
        </w:tc>
        <w:tc>
          <w:tcPr>
            <w:tcW w:w="2726" w:type="dxa"/>
            <w:shd w:val="clear" w:color="auto" w:fill="auto"/>
            <w:noWrap/>
            <w:vAlign w:val="bottom"/>
            <w:hideMark/>
          </w:tcPr>
          <w:p w14:paraId="4B6227B5" w14:textId="4C4FF734"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a*</w:t>
            </w:r>
          </w:p>
        </w:tc>
        <w:tc>
          <w:tcPr>
            <w:tcW w:w="1091" w:type="dxa"/>
            <w:shd w:val="clear" w:color="auto" w:fill="auto"/>
            <w:noWrap/>
            <w:vAlign w:val="bottom"/>
            <w:hideMark/>
          </w:tcPr>
          <w:p w14:paraId="0F9A1AC8"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16±3</w:t>
            </w:r>
            <w:r w:rsidRPr="00617892">
              <w:rPr>
                <w:rFonts w:cs="Arial"/>
                <w:color w:val="000000"/>
                <w:szCs w:val="18"/>
                <w:vertAlign w:val="superscript"/>
                <w:lang w:val="it-IT" w:eastAsia="it-IT"/>
              </w:rPr>
              <w:t>a</w:t>
            </w:r>
          </w:p>
        </w:tc>
        <w:tc>
          <w:tcPr>
            <w:tcW w:w="1193" w:type="dxa"/>
            <w:shd w:val="clear" w:color="auto" w:fill="auto"/>
            <w:noWrap/>
            <w:vAlign w:val="bottom"/>
            <w:hideMark/>
          </w:tcPr>
          <w:p w14:paraId="26021DD6"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19±2</w:t>
            </w:r>
            <w:r w:rsidRPr="00617892">
              <w:rPr>
                <w:rFonts w:cs="Arial"/>
                <w:color w:val="000000"/>
                <w:szCs w:val="18"/>
                <w:vertAlign w:val="superscript"/>
                <w:lang w:val="it-IT" w:eastAsia="it-IT"/>
              </w:rPr>
              <w:t>a</w:t>
            </w:r>
            <w:r w:rsidRPr="003B12F4">
              <w:rPr>
                <w:rFonts w:cs="Arial"/>
                <w:color w:val="000000"/>
                <w:szCs w:val="18"/>
                <w:lang w:val="it-IT" w:eastAsia="it-IT"/>
              </w:rPr>
              <w:t>*</w:t>
            </w:r>
          </w:p>
        </w:tc>
        <w:tc>
          <w:tcPr>
            <w:tcW w:w="1216" w:type="dxa"/>
            <w:shd w:val="clear" w:color="auto" w:fill="auto"/>
            <w:noWrap/>
            <w:vAlign w:val="bottom"/>
            <w:hideMark/>
          </w:tcPr>
          <w:p w14:paraId="3A3F508B"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20±2</w:t>
            </w:r>
            <w:r w:rsidRPr="00617892">
              <w:rPr>
                <w:rFonts w:cs="Arial"/>
                <w:color w:val="000000"/>
                <w:szCs w:val="18"/>
                <w:vertAlign w:val="superscript"/>
                <w:lang w:val="it-IT" w:eastAsia="it-IT"/>
              </w:rPr>
              <w:t>ab</w:t>
            </w:r>
            <w:r w:rsidRPr="003B12F4">
              <w:rPr>
                <w:rFonts w:cs="Arial"/>
                <w:color w:val="000000"/>
                <w:szCs w:val="18"/>
                <w:lang w:val="it-IT" w:eastAsia="it-IT"/>
              </w:rPr>
              <w:t>*</w:t>
            </w:r>
          </w:p>
        </w:tc>
        <w:tc>
          <w:tcPr>
            <w:tcW w:w="1100" w:type="dxa"/>
            <w:shd w:val="clear" w:color="auto" w:fill="auto"/>
            <w:noWrap/>
            <w:vAlign w:val="bottom"/>
            <w:hideMark/>
          </w:tcPr>
          <w:p w14:paraId="2A01A802"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21±3</w:t>
            </w:r>
            <w:r w:rsidRPr="00617892">
              <w:rPr>
                <w:rFonts w:cs="Arial"/>
                <w:color w:val="000000"/>
                <w:szCs w:val="18"/>
                <w:vertAlign w:val="superscript"/>
                <w:lang w:val="it-IT" w:eastAsia="it-IT"/>
              </w:rPr>
              <w:t>b</w:t>
            </w:r>
            <w:r w:rsidRPr="003B12F4">
              <w:rPr>
                <w:rFonts w:cs="Arial"/>
                <w:color w:val="000000"/>
                <w:szCs w:val="18"/>
                <w:lang w:val="it-IT" w:eastAsia="it-IT"/>
              </w:rPr>
              <w:t>*</w:t>
            </w:r>
          </w:p>
        </w:tc>
        <w:tc>
          <w:tcPr>
            <w:tcW w:w="1100" w:type="dxa"/>
            <w:shd w:val="clear" w:color="auto" w:fill="auto"/>
            <w:noWrap/>
            <w:vAlign w:val="bottom"/>
            <w:hideMark/>
          </w:tcPr>
          <w:p w14:paraId="1C972175"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22±2</w:t>
            </w:r>
            <w:r w:rsidRPr="00617892">
              <w:rPr>
                <w:rFonts w:cs="Arial"/>
                <w:color w:val="000000"/>
                <w:szCs w:val="18"/>
                <w:vertAlign w:val="superscript"/>
                <w:lang w:val="it-IT" w:eastAsia="it-IT"/>
              </w:rPr>
              <w:t>b</w:t>
            </w:r>
            <w:r w:rsidRPr="003B12F4">
              <w:rPr>
                <w:rFonts w:cs="Arial"/>
                <w:color w:val="000000"/>
                <w:szCs w:val="18"/>
                <w:lang w:val="it-IT" w:eastAsia="it-IT"/>
              </w:rPr>
              <w:t>*</w:t>
            </w:r>
          </w:p>
        </w:tc>
      </w:tr>
      <w:tr w:rsidR="00D42796" w:rsidRPr="00134C89" w14:paraId="210DA159" w14:textId="77777777" w:rsidTr="00FB1B25">
        <w:trPr>
          <w:trHeight w:val="300"/>
        </w:trPr>
        <w:tc>
          <w:tcPr>
            <w:tcW w:w="960" w:type="dxa"/>
            <w:tcBorders>
              <w:bottom w:val="nil"/>
            </w:tcBorders>
            <w:shd w:val="clear" w:color="auto" w:fill="auto"/>
            <w:noWrap/>
            <w:vAlign w:val="bottom"/>
            <w:hideMark/>
          </w:tcPr>
          <w:p w14:paraId="16F5C6DC" w14:textId="77777777" w:rsidR="00D42796" w:rsidRPr="003B12F4" w:rsidRDefault="00D42796" w:rsidP="00D42796">
            <w:pPr>
              <w:tabs>
                <w:tab w:val="clear" w:pos="7100"/>
              </w:tabs>
              <w:spacing w:line="240" w:lineRule="auto"/>
              <w:jc w:val="left"/>
              <w:rPr>
                <w:rFonts w:cs="Arial"/>
                <w:color w:val="000000"/>
                <w:szCs w:val="18"/>
                <w:lang w:val="it-IT" w:eastAsia="it-IT"/>
              </w:rPr>
            </w:pPr>
          </w:p>
        </w:tc>
        <w:tc>
          <w:tcPr>
            <w:tcW w:w="2726" w:type="dxa"/>
            <w:tcBorders>
              <w:bottom w:val="nil"/>
            </w:tcBorders>
            <w:shd w:val="clear" w:color="auto" w:fill="auto"/>
            <w:noWrap/>
            <w:vAlign w:val="bottom"/>
            <w:hideMark/>
          </w:tcPr>
          <w:p w14:paraId="6DDA9918" w14:textId="32CB5265"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b*</w:t>
            </w:r>
          </w:p>
        </w:tc>
        <w:tc>
          <w:tcPr>
            <w:tcW w:w="1091" w:type="dxa"/>
            <w:tcBorders>
              <w:bottom w:val="nil"/>
            </w:tcBorders>
            <w:shd w:val="clear" w:color="auto" w:fill="auto"/>
            <w:noWrap/>
            <w:vAlign w:val="bottom"/>
            <w:hideMark/>
          </w:tcPr>
          <w:p w14:paraId="7630303E"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16±2</w:t>
            </w:r>
            <w:r w:rsidRPr="00617892">
              <w:rPr>
                <w:rFonts w:cs="Arial"/>
                <w:color w:val="000000"/>
                <w:szCs w:val="18"/>
                <w:vertAlign w:val="superscript"/>
                <w:lang w:val="it-IT" w:eastAsia="it-IT"/>
              </w:rPr>
              <w:t>a</w:t>
            </w:r>
          </w:p>
        </w:tc>
        <w:tc>
          <w:tcPr>
            <w:tcW w:w="1193" w:type="dxa"/>
            <w:tcBorders>
              <w:bottom w:val="nil"/>
            </w:tcBorders>
            <w:shd w:val="clear" w:color="auto" w:fill="auto"/>
            <w:noWrap/>
            <w:vAlign w:val="bottom"/>
            <w:hideMark/>
          </w:tcPr>
          <w:p w14:paraId="31B7A48C"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18±2</w:t>
            </w:r>
            <w:r w:rsidRPr="00617892">
              <w:rPr>
                <w:rFonts w:cs="Arial"/>
                <w:color w:val="000000"/>
                <w:szCs w:val="18"/>
                <w:vertAlign w:val="superscript"/>
                <w:lang w:val="it-IT" w:eastAsia="it-IT"/>
              </w:rPr>
              <w:t>a</w:t>
            </w:r>
            <w:r w:rsidRPr="003B12F4">
              <w:rPr>
                <w:rFonts w:cs="Arial"/>
                <w:color w:val="000000"/>
                <w:szCs w:val="18"/>
                <w:lang w:val="it-IT" w:eastAsia="it-IT"/>
              </w:rPr>
              <w:t>*</w:t>
            </w:r>
          </w:p>
        </w:tc>
        <w:tc>
          <w:tcPr>
            <w:tcW w:w="1216" w:type="dxa"/>
            <w:tcBorders>
              <w:bottom w:val="nil"/>
            </w:tcBorders>
            <w:shd w:val="clear" w:color="auto" w:fill="auto"/>
            <w:noWrap/>
            <w:vAlign w:val="bottom"/>
            <w:hideMark/>
          </w:tcPr>
          <w:p w14:paraId="6D306998"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19±3</w:t>
            </w:r>
            <w:r w:rsidRPr="00617892">
              <w:rPr>
                <w:rFonts w:cs="Arial"/>
                <w:color w:val="000000"/>
                <w:szCs w:val="18"/>
                <w:vertAlign w:val="superscript"/>
                <w:lang w:val="it-IT" w:eastAsia="it-IT"/>
              </w:rPr>
              <w:t>a</w:t>
            </w:r>
            <w:r w:rsidRPr="003B12F4">
              <w:rPr>
                <w:rFonts w:cs="Arial"/>
                <w:color w:val="000000"/>
                <w:szCs w:val="18"/>
                <w:lang w:val="it-IT" w:eastAsia="it-IT"/>
              </w:rPr>
              <w:t>*</w:t>
            </w:r>
          </w:p>
        </w:tc>
        <w:tc>
          <w:tcPr>
            <w:tcW w:w="1100" w:type="dxa"/>
            <w:tcBorders>
              <w:bottom w:val="nil"/>
            </w:tcBorders>
            <w:shd w:val="clear" w:color="auto" w:fill="auto"/>
            <w:noWrap/>
            <w:vAlign w:val="bottom"/>
            <w:hideMark/>
          </w:tcPr>
          <w:p w14:paraId="754FEB25"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20±3</w:t>
            </w:r>
            <w:r w:rsidRPr="00617892">
              <w:rPr>
                <w:rFonts w:cs="Arial"/>
                <w:color w:val="000000"/>
                <w:szCs w:val="18"/>
                <w:vertAlign w:val="superscript"/>
                <w:lang w:val="it-IT" w:eastAsia="it-IT"/>
              </w:rPr>
              <w:t>a</w:t>
            </w:r>
            <w:r w:rsidRPr="00617892">
              <w:rPr>
                <w:rFonts w:cs="Arial"/>
                <w:color w:val="000000"/>
                <w:szCs w:val="18"/>
                <w:lang w:val="it-IT" w:eastAsia="it-IT"/>
              </w:rPr>
              <w:t>*</w:t>
            </w:r>
          </w:p>
        </w:tc>
        <w:tc>
          <w:tcPr>
            <w:tcW w:w="1100" w:type="dxa"/>
            <w:tcBorders>
              <w:bottom w:val="nil"/>
            </w:tcBorders>
            <w:shd w:val="clear" w:color="auto" w:fill="auto"/>
            <w:noWrap/>
            <w:vAlign w:val="bottom"/>
            <w:hideMark/>
          </w:tcPr>
          <w:p w14:paraId="15FCDF42"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24±3</w:t>
            </w:r>
            <w:r w:rsidRPr="00617892">
              <w:rPr>
                <w:rFonts w:cs="Arial"/>
                <w:color w:val="000000"/>
                <w:szCs w:val="18"/>
                <w:vertAlign w:val="superscript"/>
                <w:lang w:val="it-IT" w:eastAsia="it-IT"/>
              </w:rPr>
              <w:t>b</w:t>
            </w:r>
            <w:r w:rsidRPr="003B12F4">
              <w:rPr>
                <w:rFonts w:cs="Arial"/>
                <w:color w:val="000000"/>
                <w:szCs w:val="18"/>
                <w:lang w:val="it-IT" w:eastAsia="it-IT"/>
              </w:rPr>
              <w:t>*</w:t>
            </w:r>
          </w:p>
        </w:tc>
      </w:tr>
      <w:tr w:rsidR="00D42796" w:rsidRPr="00134C89" w14:paraId="31A15CC7" w14:textId="77777777" w:rsidTr="00FB1B25">
        <w:trPr>
          <w:trHeight w:val="290"/>
        </w:trPr>
        <w:tc>
          <w:tcPr>
            <w:tcW w:w="960" w:type="dxa"/>
            <w:tcBorders>
              <w:bottom w:val="nil"/>
            </w:tcBorders>
            <w:shd w:val="clear" w:color="auto" w:fill="auto"/>
            <w:noWrap/>
            <w:vAlign w:val="bottom"/>
            <w:hideMark/>
          </w:tcPr>
          <w:p w14:paraId="22F399EB" w14:textId="77777777" w:rsidR="00D42796" w:rsidRPr="003B12F4" w:rsidRDefault="00D42796" w:rsidP="00D42796">
            <w:pPr>
              <w:tabs>
                <w:tab w:val="clear" w:pos="7100"/>
              </w:tabs>
              <w:spacing w:line="240" w:lineRule="auto"/>
              <w:jc w:val="left"/>
              <w:rPr>
                <w:rFonts w:cs="Arial"/>
                <w:color w:val="000000"/>
                <w:szCs w:val="18"/>
                <w:lang w:val="it-IT" w:eastAsia="it-IT"/>
              </w:rPr>
            </w:pPr>
          </w:p>
        </w:tc>
        <w:tc>
          <w:tcPr>
            <w:tcW w:w="2726" w:type="dxa"/>
            <w:tcBorders>
              <w:bottom w:val="nil"/>
            </w:tcBorders>
            <w:shd w:val="clear" w:color="auto" w:fill="auto"/>
            <w:noWrap/>
            <w:vAlign w:val="bottom"/>
            <w:hideMark/>
          </w:tcPr>
          <w:p w14:paraId="766483E4" w14:textId="3D24B1A0" w:rsidR="00D42796" w:rsidRPr="003B12F4" w:rsidRDefault="00D42796" w:rsidP="00D42796">
            <w:pPr>
              <w:tabs>
                <w:tab w:val="clear" w:pos="7100"/>
              </w:tabs>
              <w:spacing w:line="240" w:lineRule="auto"/>
              <w:jc w:val="left"/>
              <w:rPr>
                <w:rFonts w:cs="Arial"/>
                <w:color w:val="000000"/>
                <w:szCs w:val="18"/>
                <w:lang w:val="it-IT" w:eastAsia="it-IT"/>
              </w:rPr>
            </w:pPr>
            <w:r w:rsidRPr="00284C41">
              <w:rPr>
                <w:rFonts w:ascii="Symbol" w:hAnsi="Symbol" w:cs="Arial"/>
                <w:color w:val="000000"/>
                <w:szCs w:val="18"/>
                <w:lang w:val="it-IT" w:eastAsia="it-IT"/>
              </w:rPr>
              <w:t>D</w:t>
            </w:r>
            <w:r w:rsidRPr="003B12F4">
              <w:rPr>
                <w:rFonts w:cs="Arial"/>
                <w:color w:val="000000"/>
                <w:szCs w:val="18"/>
                <w:lang w:val="it-IT" w:eastAsia="it-IT"/>
              </w:rPr>
              <w:t>E</w:t>
            </w:r>
          </w:p>
        </w:tc>
        <w:tc>
          <w:tcPr>
            <w:tcW w:w="1091" w:type="dxa"/>
            <w:tcBorders>
              <w:bottom w:val="nil"/>
            </w:tcBorders>
            <w:shd w:val="clear" w:color="auto" w:fill="auto"/>
            <w:noWrap/>
            <w:vAlign w:val="bottom"/>
            <w:hideMark/>
          </w:tcPr>
          <w:p w14:paraId="0924B286" w14:textId="77777777" w:rsidR="00D42796" w:rsidRPr="003B12F4" w:rsidRDefault="00D42796" w:rsidP="00D42796">
            <w:pPr>
              <w:tabs>
                <w:tab w:val="clear" w:pos="7100"/>
              </w:tabs>
              <w:spacing w:line="240" w:lineRule="auto"/>
              <w:jc w:val="left"/>
              <w:rPr>
                <w:rFonts w:cs="Arial"/>
                <w:color w:val="000000"/>
                <w:szCs w:val="18"/>
                <w:lang w:val="it-IT" w:eastAsia="it-IT"/>
              </w:rPr>
            </w:pPr>
          </w:p>
        </w:tc>
        <w:tc>
          <w:tcPr>
            <w:tcW w:w="1193" w:type="dxa"/>
            <w:tcBorders>
              <w:bottom w:val="nil"/>
            </w:tcBorders>
            <w:shd w:val="clear" w:color="auto" w:fill="auto"/>
            <w:noWrap/>
            <w:vAlign w:val="bottom"/>
            <w:hideMark/>
          </w:tcPr>
          <w:p w14:paraId="5FE17959"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6±2</w:t>
            </w:r>
            <w:r w:rsidRPr="00617892">
              <w:rPr>
                <w:rFonts w:cs="Arial"/>
                <w:color w:val="000000"/>
                <w:szCs w:val="18"/>
                <w:vertAlign w:val="superscript"/>
                <w:lang w:val="it-IT" w:eastAsia="it-IT"/>
              </w:rPr>
              <w:t>a</w:t>
            </w:r>
            <w:r w:rsidRPr="003B12F4">
              <w:rPr>
                <w:rFonts w:cs="Arial"/>
                <w:color w:val="000000"/>
                <w:szCs w:val="18"/>
                <w:lang w:val="it-IT" w:eastAsia="it-IT"/>
              </w:rPr>
              <w:t>*</w:t>
            </w:r>
          </w:p>
        </w:tc>
        <w:tc>
          <w:tcPr>
            <w:tcW w:w="1216" w:type="dxa"/>
            <w:tcBorders>
              <w:bottom w:val="nil"/>
            </w:tcBorders>
            <w:shd w:val="clear" w:color="auto" w:fill="auto"/>
            <w:noWrap/>
            <w:vAlign w:val="bottom"/>
            <w:hideMark/>
          </w:tcPr>
          <w:p w14:paraId="67F92DC9"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7±1</w:t>
            </w:r>
            <w:r w:rsidRPr="00617892">
              <w:rPr>
                <w:rFonts w:cs="Arial"/>
                <w:color w:val="000000"/>
                <w:szCs w:val="18"/>
                <w:vertAlign w:val="superscript"/>
                <w:lang w:val="it-IT" w:eastAsia="it-IT"/>
              </w:rPr>
              <w:t>ab</w:t>
            </w:r>
            <w:r w:rsidRPr="003B12F4">
              <w:rPr>
                <w:rFonts w:cs="Arial"/>
                <w:color w:val="000000"/>
                <w:szCs w:val="18"/>
                <w:lang w:val="it-IT" w:eastAsia="it-IT"/>
              </w:rPr>
              <w:t>*</w:t>
            </w:r>
          </w:p>
        </w:tc>
        <w:tc>
          <w:tcPr>
            <w:tcW w:w="1100" w:type="dxa"/>
            <w:tcBorders>
              <w:bottom w:val="nil"/>
            </w:tcBorders>
            <w:shd w:val="clear" w:color="auto" w:fill="auto"/>
            <w:noWrap/>
            <w:vAlign w:val="bottom"/>
            <w:hideMark/>
          </w:tcPr>
          <w:p w14:paraId="5D5E6BC8"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9±3</w:t>
            </w:r>
            <w:r w:rsidRPr="00617892">
              <w:rPr>
                <w:rFonts w:cs="Arial"/>
                <w:color w:val="000000"/>
                <w:szCs w:val="18"/>
                <w:vertAlign w:val="superscript"/>
                <w:lang w:val="it-IT" w:eastAsia="it-IT"/>
              </w:rPr>
              <w:t>b</w:t>
            </w:r>
            <w:r w:rsidRPr="003B12F4">
              <w:rPr>
                <w:rFonts w:cs="Arial"/>
                <w:color w:val="000000"/>
                <w:szCs w:val="18"/>
                <w:lang w:val="it-IT" w:eastAsia="it-IT"/>
              </w:rPr>
              <w:t>*</w:t>
            </w:r>
          </w:p>
        </w:tc>
        <w:tc>
          <w:tcPr>
            <w:tcW w:w="1100" w:type="dxa"/>
            <w:tcBorders>
              <w:bottom w:val="nil"/>
            </w:tcBorders>
            <w:shd w:val="clear" w:color="auto" w:fill="auto"/>
            <w:noWrap/>
            <w:vAlign w:val="bottom"/>
            <w:hideMark/>
          </w:tcPr>
          <w:p w14:paraId="0A59C9DA"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13±3</w:t>
            </w:r>
            <w:r w:rsidRPr="00617892">
              <w:rPr>
                <w:rFonts w:cs="Arial"/>
                <w:color w:val="000000"/>
                <w:szCs w:val="18"/>
                <w:vertAlign w:val="superscript"/>
                <w:lang w:val="it-IT" w:eastAsia="it-IT"/>
              </w:rPr>
              <w:t>c</w:t>
            </w:r>
            <w:r w:rsidRPr="003B12F4">
              <w:rPr>
                <w:rFonts w:cs="Arial"/>
                <w:color w:val="000000"/>
                <w:szCs w:val="18"/>
                <w:lang w:val="it-IT" w:eastAsia="it-IT"/>
              </w:rPr>
              <w:t>*</w:t>
            </w:r>
          </w:p>
        </w:tc>
      </w:tr>
      <w:tr w:rsidR="00D42796" w:rsidRPr="00134C89" w14:paraId="0D594E67" w14:textId="77777777" w:rsidTr="00FB1B25">
        <w:trPr>
          <w:trHeight w:val="290"/>
        </w:trPr>
        <w:tc>
          <w:tcPr>
            <w:tcW w:w="960" w:type="dxa"/>
            <w:tcBorders>
              <w:top w:val="nil"/>
              <w:bottom w:val="nil"/>
            </w:tcBorders>
            <w:shd w:val="clear" w:color="auto" w:fill="auto"/>
            <w:noWrap/>
            <w:vAlign w:val="bottom"/>
            <w:hideMark/>
          </w:tcPr>
          <w:p w14:paraId="16711B0F" w14:textId="77777777" w:rsidR="00D42796" w:rsidRPr="003B12F4" w:rsidRDefault="00D42796" w:rsidP="00D42796">
            <w:pPr>
              <w:tabs>
                <w:tab w:val="clear" w:pos="7100"/>
              </w:tabs>
              <w:spacing w:line="240" w:lineRule="auto"/>
              <w:jc w:val="left"/>
              <w:rPr>
                <w:rFonts w:cs="Arial"/>
                <w:color w:val="000000"/>
                <w:szCs w:val="18"/>
                <w:lang w:val="it-IT" w:eastAsia="it-IT"/>
              </w:rPr>
            </w:pPr>
          </w:p>
        </w:tc>
        <w:tc>
          <w:tcPr>
            <w:tcW w:w="2726" w:type="dxa"/>
            <w:tcBorders>
              <w:top w:val="nil"/>
              <w:bottom w:val="nil"/>
            </w:tcBorders>
            <w:shd w:val="clear" w:color="auto" w:fill="auto"/>
            <w:noWrap/>
            <w:vAlign w:val="bottom"/>
            <w:hideMark/>
          </w:tcPr>
          <w:p w14:paraId="0C27BCFC"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pH</w:t>
            </w:r>
          </w:p>
        </w:tc>
        <w:tc>
          <w:tcPr>
            <w:tcW w:w="1091" w:type="dxa"/>
            <w:tcBorders>
              <w:top w:val="nil"/>
              <w:bottom w:val="nil"/>
            </w:tcBorders>
            <w:shd w:val="clear" w:color="auto" w:fill="auto"/>
            <w:noWrap/>
            <w:vAlign w:val="bottom"/>
            <w:hideMark/>
          </w:tcPr>
          <w:p w14:paraId="6B89BB4D"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3.85±0.02</w:t>
            </w:r>
            <w:r w:rsidRPr="00617892">
              <w:rPr>
                <w:rFonts w:cs="Arial"/>
                <w:color w:val="000000"/>
                <w:szCs w:val="18"/>
                <w:vertAlign w:val="superscript"/>
                <w:lang w:val="it-IT" w:eastAsia="it-IT"/>
              </w:rPr>
              <w:t>a</w:t>
            </w:r>
          </w:p>
        </w:tc>
        <w:tc>
          <w:tcPr>
            <w:tcW w:w="1193" w:type="dxa"/>
            <w:tcBorders>
              <w:top w:val="nil"/>
              <w:bottom w:val="nil"/>
            </w:tcBorders>
            <w:shd w:val="clear" w:color="auto" w:fill="auto"/>
            <w:noWrap/>
            <w:vAlign w:val="bottom"/>
            <w:hideMark/>
          </w:tcPr>
          <w:p w14:paraId="1DE37C2D"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4.57±0.02</w:t>
            </w:r>
            <w:r w:rsidRPr="00617892">
              <w:rPr>
                <w:rFonts w:cs="Arial"/>
                <w:color w:val="000000"/>
                <w:szCs w:val="18"/>
                <w:vertAlign w:val="superscript"/>
                <w:lang w:val="it-IT" w:eastAsia="it-IT"/>
              </w:rPr>
              <w:t>c</w:t>
            </w:r>
            <w:r w:rsidRPr="003B12F4">
              <w:rPr>
                <w:rFonts w:cs="Arial"/>
                <w:color w:val="000000"/>
                <w:szCs w:val="18"/>
                <w:lang w:val="it-IT" w:eastAsia="it-IT"/>
              </w:rPr>
              <w:t>*</w:t>
            </w:r>
          </w:p>
        </w:tc>
        <w:tc>
          <w:tcPr>
            <w:tcW w:w="1216" w:type="dxa"/>
            <w:tcBorders>
              <w:top w:val="nil"/>
              <w:bottom w:val="nil"/>
            </w:tcBorders>
            <w:shd w:val="clear" w:color="auto" w:fill="auto"/>
            <w:noWrap/>
            <w:vAlign w:val="bottom"/>
            <w:hideMark/>
          </w:tcPr>
          <w:p w14:paraId="3B1F7FEC"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4.63±0.05</w:t>
            </w:r>
            <w:r w:rsidRPr="00617892">
              <w:rPr>
                <w:rFonts w:cs="Arial"/>
                <w:color w:val="000000"/>
                <w:szCs w:val="18"/>
                <w:vertAlign w:val="superscript"/>
                <w:lang w:val="it-IT" w:eastAsia="it-IT"/>
              </w:rPr>
              <w:t>d</w:t>
            </w:r>
            <w:r w:rsidRPr="003B12F4">
              <w:rPr>
                <w:rFonts w:cs="Arial"/>
                <w:color w:val="000000"/>
                <w:szCs w:val="18"/>
                <w:lang w:val="it-IT" w:eastAsia="it-IT"/>
              </w:rPr>
              <w:t>*</w:t>
            </w:r>
          </w:p>
        </w:tc>
        <w:tc>
          <w:tcPr>
            <w:tcW w:w="1100" w:type="dxa"/>
            <w:tcBorders>
              <w:top w:val="nil"/>
              <w:bottom w:val="nil"/>
            </w:tcBorders>
            <w:shd w:val="clear" w:color="auto" w:fill="auto"/>
            <w:noWrap/>
            <w:vAlign w:val="bottom"/>
            <w:hideMark/>
          </w:tcPr>
          <w:p w14:paraId="427B55B4"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4.19±0.03</w:t>
            </w:r>
            <w:r w:rsidRPr="00617892">
              <w:rPr>
                <w:rFonts w:cs="Arial"/>
                <w:color w:val="000000"/>
                <w:szCs w:val="18"/>
                <w:vertAlign w:val="superscript"/>
                <w:lang w:val="it-IT" w:eastAsia="it-IT"/>
              </w:rPr>
              <w:t>b</w:t>
            </w:r>
          </w:p>
        </w:tc>
        <w:tc>
          <w:tcPr>
            <w:tcW w:w="1100" w:type="dxa"/>
            <w:tcBorders>
              <w:top w:val="nil"/>
              <w:bottom w:val="nil"/>
            </w:tcBorders>
            <w:shd w:val="clear" w:color="auto" w:fill="auto"/>
            <w:noWrap/>
            <w:vAlign w:val="bottom"/>
            <w:hideMark/>
          </w:tcPr>
          <w:p w14:paraId="1093B37C"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4.24±0.02</w:t>
            </w:r>
            <w:r w:rsidRPr="00617892">
              <w:rPr>
                <w:rFonts w:cs="Arial"/>
                <w:color w:val="000000"/>
                <w:szCs w:val="18"/>
                <w:vertAlign w:val="superscript"/>
                <w:lang w:val="it-IT" w:eastAsia="it-IT"/>
              </w:rPr>
              <w:t>b</w:t>
            </w:r>
          </w:p>
        </w:tc>
      </w:tr>
      <w:tr w:rsidR="00D42796" w:rsidRPr="00134C89" w14:paraId="0888AA28" w14:textId="77777777" w:rsidTr="00FB1B25">
        <w:trPr>
          <w:trHeight w:val="290"/>
        </w:trPr>
        <w:tc>
          <w:tcPr>
            <w:tcW w:w="960" w:type="dxa"/>
            <w:tcBorders>
              <w:bottom w:val="nil"/>
            </w:tcBorders>
            <w:shd w:val="clear" w:color="auto" w:fill="auto"/>
            <w:noWrap/>
            <w:vAlign w:val="bottom"/>
            <w:hideMark/>
          </w:tcPr>
          <w:p w14:paraId="36217B4B" w14:textId="77777777" w:rsidR="00D42796" w:rsidRPr="003B12F4" w:rsidRDefault="00D42796" w:rsidP="00D42796">
            <w:pPr>
              <w:tabs>
                <w:tab w:val="clear" w:pos="7100"/>
              </w:tabs>
              <w:spacing w:line="240" w:lineRule="auto"/>
              <w:jc w:val="left"/>
              <w:rPr>
                <w:rFonts w:cs="Arial"/>
                <w:color w:val="000000"/>
                <w:szCs w:val="18"/>
                <w:lang w:val="it-IT" w:eastAsia="it-IT"/>
              </w:rPr>
            </w:pPr>
          </w:p>
        </w:tc>
        <w:tc>
          <w:tcPr>
            <w:tcW w:w="2726" w:type="dxa"/>
            <w:tcBorders>
              <w:bottom w:val="nil"/>
            </w:tcBorders>
            <w:shd w:val="clear" w:color="auto" w:fill="auto"/>
            <w:noWrap/>
            <w:vAlign w:val="bottom"/>
            <w:hideMark/>
          </w:tcPr>
          <w:p w14:paraId="3D83B6BA"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TSS</w:t>
            </w:r>
          </w:p>
        </w:tc>
        <w:tc>
          <w:tcPr>
            <w:tcW w:w="1091" w:type="dxa"/>
            <w:tcBorders>
              <w:bottom w:val="nil"/>
            </w:tcBorders>
            <w:shd w:val="clear" w:color="auto" w:fill="auto"/>
            <w:noWrap/>
            <w:vAlign w:val="bottom"/>
            <w:hideMark/>
          </w:tcPr>
          <w:p w14:paraId="0105C62E"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6.1±0.2</w:t>
            </w:r>
            <w:r w:rsidRPr="003B12F4">
              <w:rPr>
                <w:rFonts w:cs="Arial"/>
                <w:color w:val="000000"/>
                <w:szCs w:val="18"/>
                <w:vertAlign w:val="superscript"/>
                <w:lang w:val="it-IT" w:eastAsia="it-IT"/>
              </w:rPr>
              <w:t>b</w:t>
            </w:r>
          </w:p>
        </w:tc>
        <w:tc>
          <w:tcPr>
            <w:tcW w:w="1193" w:type="dxa"/>
            <w:tcBorders>
              <w:bottom w:val="nil"/>
            </w:tcBorders>
            <w:shd w:val="clear" w:color="auto" w:fill="auto"/>
            <w:noWrap/>
            <w:vAlign w:val="bottom"/>
            <w:hideMark/>
          </w:tcPr>
          <w:p w14:paraId="5590868F"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5.4±0.6</w:t>
            </w:r>
            <w:r w:rsidRPr="00617892">
              <w:rPr>
                <w:rFonts w:cs="Arial"/>
                <w:color w:val="000000"/>
                <w:szCs w:val="18"/>
                <w:vertAlign w:val="superscript"/>
                <w:lang w:val="it-IT" w:eastAsia="it-IT"/>
              </w:rPr>
              <w:t>a</w:t>
            </w:r>
          </w:p>
        </w:tc>
        <w:tc>
          <w:tcPr>
            <w:tcW w:w="1216" w:type="dxa"/>
            <w:tcBorders>
              <w:bottom w:val="nil"/>
            </w:tcBorders>
            <w:shd w:val="clear" w:color="auto" w:fill="auto"/>
            <w:noWrap/>
            <w:vAlign w:val="bottom"/>
            <w:hideMark/>
          </w:tcPr>
          <w:p w14:paraId="24871077"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5.4±0.5</w:t>
            </w:r>
            <w:r w:rsidRPr="00617892">
              <w:rPr>
                <w:rFonts w:cs="Arial"/>
                <w:color w:val="000000"/>
                <w:szCs w:val="18"/>
                <w:vertAlign w:val="superscript"/>
                <w:lang w:val="it-IT" w:eastAsia="it-IT"/>
              </w:rPr>
              <w:t>a</w:t>
            </w:r>
          </w:p>
        </w:tc>
        <w:tc>
          <w:tcPr>
            <w:tcW w:w="1100" w:type="dxa"/>
            <w:tcBorders>
              <w:bottom w:val="nil"/>
            </w:tcBorders>
            <w:shd w:val="clear" w:color="auto" w:fill="auto"/>
            <w:noWrap/>
            <w:vAlign w:val="bottom"/>
            <w:hideMark/>
          </w:tcPr>
          <w:p w14:paraId="6C8F757A"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5.5±0.5</w:t>
            </w:r>
            <w:r w:rsidRPr="00617892">
              <w:rPr>
                <w:rFonts w:cs="Arial"/>
                <w:color w:val="000000"/>
                <w:szCs w:val="18"/>
                <w:vertAlign w:val="superscript"/>
                <w:lang w:val="it-IT" w:eastAsia="it-IT"/>
              </w:rPr>
              <w:t>a</w:t>
            </w:r>
          </w:p>
        </w:tc>
        <w:tc>
          <w:tcPr>
            <w:tcW w:w="1100" w:type="dxa"/>
            <w:tcBorders>
              <w:bottom w:val="nil"/>
            </w:tcBorders>
            <w:shd w:val="clear" w:color="auto" w:fill="auto"/>
            <w:noWrap/>
            <w:vAlign w:val="bottom"/>
            <w:hideMark/>
          </w:tcPr>
          <w:p w14:paraId="569AB7C3"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5.1±0.4</w:t>
            </w:r>
            <w:r w:rsidRPr="00617892">
              <w:rPr>
                <w:rFonts w:cs="Arial"/>
                <w:color w:val="000000"/>
                <w:szCs w:val="18"/>
                <w:vertAlign w:val="superscript"/>
                <w:lang w:val="it-IT" w:eastAsia="it-IT"/>
              </w:rPr>
              <w:t>a</w:t>
            </w:r>
            <w:r w:rsidRPr="003B12F4">
              <w:rPr>
                <w:rFonts w:cs="Arial"/>
                <w:color w:val="000000"/>
                <w:szCs w:val="18"/>
                <w:lang w:val="it-IT" w:eastAsia="it-IT"/>
              </w:rPr>
              <w:t>*</w:t>
            </w:r>
          </w:p>
        </w:tc>
      </w:tr>
      <w:tr w:rsidR="00D42796" w:rsidRPr="00134C89" w14:paraId="07B3E951" w14:textId="77777777" w:rsidTr="00FB1B25">
        <w:trPr>
          <w:trHeight w:val="290"/>
        </w:trPr>
        <w:tc>
          <w:tcPr>
            <w:tcW w:w="960" w:type="dxa"/>
            <w:tcBorders>
              <w:bottom w:val="nil"/>
            </w:tcBorders>
            <w:shd w:val="clear" w:color="auto" w:fill="auto"/>
            <w:noWrap/>
            <w:vAlign w:val="bottom"/>
            <w:hideMark/>
          </w:tcPr>
          <w:p w14:paraId="7DF46CBC" w14:textId="77777777" w:rsidR="00D42796" w:rsidRPr="003B12F4" w:rsidRDefault="00D42796" w:rsidP="00D42796">
            <w:pPr>
              <w:tabs>
                <w:tab w:val="clear" w:pos="7100"/>
              </w:tabs>
              <w:spacing w:line="240" w:lineRule="auto"/>
              <w:jc w:val="left"/>
              <w:rPr>
                <w:rFonts w:cs="Arial"/>
                <w:color w:val="000000"/>
                <w:szCs w:val="18"/>
                <w:lang w:val="it-IT" w:eastAsia="it-IT"/>
              </w:rPr>
            </w:pPr>
          </w:p>
        </w:tc>
        <w:tc>
          <w:tcPr>
            <w:tcW w:w="2726" w:type="dxa"/>
            <w:tcBorders>
              <w:bottom w:val="nil"/>
            </w:tcBorders>
            <w:shd w:val="clear" w:color="auto" w:fill="auto"/>
            <w:noWrap/>
            <w:vAlign w:val="bottom"/>
            <w:hideMark/>
          </w:tcPr>
          <w:p w14:paraId="24FC6EF2" w14:textId="77777777" w:rsidR="00D42796" w:rsidRPr="003B12F4" w:rsidRDefault="00D42796" w:rsidP="00D42796">
            <w:pPr>
              <w:tabs>
                <w:tab w:val="clear" w:pos="7100"/>
              </w:tabs>
              <w:spacing w:line="240" w:lineRule="auto"/>
              <w:jc w:val="left"/>
              <w:rPr>
                <w:rFonts w:cs="Arial"/>
                <w:color w:val="000000"/>
                <w:szCs w:val="18"/>
                <w:lang w:val="it-IT" w:eastAsia="it-IT"/>
              </w:rPr>
            </w:pPr>
            <w:proofErr w:type="spellStart"/>
            <w:r w:rsidRPr="003B12F4">
              <w:rPr>
                <w:rFonts w:cs="Arial"/>
                <w:color w:val="000000"/>
                <w:szCs w:val="18"/>
                <w:lang w:val="it-IT" w:eastAsia="it-IT"/>
              </w:rPr>
              <w:t>Firmness</w:t>
            </w:r>
            <w:proofErr w:type="spellEnd"/>
            <w:r w:rsidRPr="003B12F4">
              <w:rPr>
                <w:rFonts w:cs="Arial"/>
                <w:color w:val="000000"/>
                <w:szCs w:val="18"/>
                <w:lang w:val="it-IT" w:eastAsia="it-IT"/>
              </w:rPr>
              <w:t xml:space="preserve"> (</w:t>
            </w:r>
            <w:proofErr w:type="gramStart"/>
            <w:r w:rsidRPr="003B12F4">
              <w:rPr>
                <w:rFonts w:cs="Arial"/>
                <w:color w:val="000000"/>
                <w:szCs w:val="18"/>
                <w:lang w:val="it-IT" w:eastAsia="it-IT"/>
              </w:rPr>
              <w:t>N )</w:t>
            </w:r>
            <w:proofErr w:type="gramEnd"/>
          </w:p>
        </w:tc>
        <w:tc>
          <w:tcPr>
            <w:tcW w:w="1091" w:type="dxa"/>
            <w:tcBorders>
              <w:bottom w:val="nil"/>
            </w:tcBorders>
            <w:shd w:val="clear" w:color="auto" w:fill="auto"/>
            <w:noWrap/>
            <w:vAlign w:val="bottom"/>
            <w:hideMark/>
          </w:tcPr>
          <w:p w14:paraId="0338FD21"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23±3</w:t>
            </w:r>
            <w:r w:rsidRPr="00617892">
              <w:rPr>
                <w:rFonts w:cs="Arial"/>
                <w:color w:val="000000"/>
                <w:szCs w:val="18"/>
                <w:vertAlign w:val="superscript"/>
                <w:lang w:val="it-IT" w:eastAsia="it-IT"/>
              </w:rPr>
              <w:t>b</w:t>
            </w:r>
          </w:p>
        </w:tc>
        <w:tc>
          <w:tcPr>
            <w:tcW w:w="1193" w:type="dxa"/>
            <w:tcBorders>
              <w:bottom w:val="nil"/>
            </w:tcBorders>
            <w:shd w:val="clear" w:color="auto" w:fill="auto"/>
            <w:noWrap/>
            <w:vAlign w:val="bottom"/>
            <w:hideMark/>
          </w:tcPr>
          <w:p w14:paraId="3C538BD8"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23±3</w:t>
            </w:r>
            <w:r w:rsidRPr="00617892">
              <w:rPr>
                <w:rFonts w:cs="Arial"/>
                <w:color w:val="000000"/>
                <w:szCs w:val="18"/>
                <w:vertAlign w:val="superscript"/>
                <w:lang w:val="it-IT" w:eastAsia="it-IT"/>
              </w:rPr>
              <w:t>b</w:t>
            </w:r>
          </w:p>
        </w:tc>
        <w:tc>
          <w:tcPr>
            <w:tcW w:w="1216" w:type="dxa"/>
            <w:tcBorders>
              <w:bottom w:val="nil"/>
            </w:tcBorders>
            <w:shd w:val="clear" w:color="auto" w:fill="auto"/>
            <w:noWrap/>
            <w:vAlign w:val="bottom"/>
            <w:hideMark/>
          </w:tcPr>
          <w:p w14:paraId="6C28A16E"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22±3</w:t>
            </w:r>
            <w:r w:rsidRPr="00617892">
              <w:rPr>
                <w:rFonts w:cs="Arial"/>
                <w:color w:val="000000"/>
                <w:szCs w:val="18"/>
                <w:vertAlign w:val="superscript"/>
                <w:lang w:val="it-IT" w:eastAsia="it-IT"/>
              </w:rPr>
              <w:t>b</w:t>
            </w:r>
          </w:p>
        </w:tc>
        <w:tc>
          <w:tcPr>
            <w:tcW w:w="1100" w:type="dxa"/>
            <w:tcBorders>
              <w:bottom w:val="nil"/>
            </w:tcBorders>
            <w:shd w:val="clear" w:color="auto" w:fill="auto"/>
            <w:noWrap/>
            <w:vAlign w:val="bottom"/>
            <w:hideMark/>
          </w:tcPr>
          <w:p w14:paraId="6DC5E022"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19±2</w:t>
            </w:r>
            <w:r w:rsidRPr="00617892">
              <w:rPr>
                <w:rFonts w:cs="Arial"/>
                <w:color w:val="000000"/>
                <w:szCs w:val="18"/>
                <w:vertAlign w:val="superscript"/>
                <w:lang w:val="it-IT" w:eastAsia="it-IT"/>
              </w:rPr>
              <w:t>a</w:t>
            </w:r>
          </w:p>
        </w:tc>
        <w:tc>
          <w:tcPr>
            <w:tcW w:w="1100" w:type="dxa"/>
            <w:tcBorders>
              <w:bottom w:val="nil"/>
            </w:tcBorders>
            <w:shd w:val="clear" w:color="auto" w:fill="auto"/>
            <w:noWrap/>
            <w:vAlign w:val="bottom"/>
            <w:hideMark/>
          </w:tcPr>
          <w:p w14:paraId="5B347D33" w14:textId="77777777" w:rsidR="00D42796" w:rsidRPr="003B12F4" w:rsidRDefault="00D42796" w:rsidP="00D42796">
            <w:pPr>
              <w:tabs>
                <w:tab w:val="clear" w:pos="7100"/>
              </w:tabs>
              <w:spacing w:line="240" w:lineRule="auto"/>
              <w:jc w:val="left"/>
              <w:rPr>
                <w:rFonts w:cs="Arial"/>
                <w:color w:val="000000"/>
                <w:szCs w:val="18"/>
                <w:lang w:val="it-IT" w:eastAsia="it-IT"/>
              </w:rPr>
            </w:pPr>
            <w:r w:rsidRPr="003B12F4">
              <w:rPr>
                <w:rFonts w:cs="Arial"/>
                <w:color w:val="000000"/>
                <w:szCs w:val="18"/>
                <w:lang w:val="it-IT" w:eastAsia="it-IT"/>
              </w:rPr>
              <w:t>19±4</w:t>
            </w:r>
            <w:r w:rsidRPr="00617892">
              <w:rPr>
                <w:rFonts w:cs="Arial"/>
                <w:color w:val="000000"/>
                <w:szCs w:val="18"/>
                <w:vertAlign w:val="superscript"/>
                <w:lang w:val="it-IT" w:eastAsia="it-IT"/>
              </w:rPr>
              <w:t>a</w:t>
            </w:r>
          </w:p>
        </w:tc>
      </w:tr>
      <w:tr w:rsidR="00D42796" w:rsidRPr="000538D4" w14:paraId="0311ED55" w14:textId="77777777" w:rsidTr="00FB1B25">
        <w:trPr>
          <w:trHeight w:val="290"/>
        </w:trPr>
        <w:tc>
          <w:tcPr>
            <w:tcW w:w="960" w:type="dxa"/>
            <w:tcBorders>
              <w:bottom w:val="nil"/>
            </w:tcBorders>
            <w:shd w:val="clear" w:color="auto" w:fill="auto"/>
            <w:noWrap/>
            <w:vAlign w:val="bottom"/>
          </w:tcPr>
          <w:p w14:paraId="70958F6A" w14:textId="77777777" w:rsidR="00D42796" w:rsidRPr="003B12F4" w:rsidRDefault="00D42796" w:rsidP="00D42796">
            <w:pPr>
              <w:tabs>
                <w:tab w:val="clear" w:pos="7100"/>
              </w:tabs>
              <w:spacing w:line="240" w:lineRule="auto"/>
              <w:jc w:val="left"/>
              <w:rPr>
                <w:rFonts w:cs="Arial"/>
                <w:color w:val="000000"/>
                <w:szCs w:val="18"/>
                <w:lang w:val="it-IT" w:eastAsia="it-IT"/>
              </w:rPr>
            </w:pPr>
          </w:p>
        </w:tc>
        <w:tc>
          <w:tcPr>
            <w:tcW w:w="2726" w:type="dxa"/>
            <w:tcBorders>
              <w:bottom w:val="nil"/>
            </w:tcBorders>
            <w:shd w:val="clear" w:color="auto" w:fill="auto"/>
            <w:noWrap/>
            <w:vAlign w:val="bottom"/>
          </w:tcPr>
          <w:p w14:paraId="34ABD290" w14:textId="5DE05971" w:rsidR="00D42796" w:rsidRPr="000538D4" w:rsidRDefault="00D42796" w:rsidP="00D42796">
            <w:pPr>
              <w:tabs>
                <w:tab w:val="clear" w:pos="7100"/>
              </w:tabs>
              <w:spacing w:line="240" w:lineRule="auto"/>
              <w:jc w:val="left"/>
              <w:rPr>
                <w:rFonts w:cs="Arial"/>
                <w:color w:val="000000"/>
                <w:szCs w:val="18"/>
                <w:lang w:eastAsia="it-IT"/>
              </w:rPr>
            </w:pPr>
            <w:r w:rsidRPr="000538D4">
              <w:rPr>
                <w:rFonts w:cs="Arial"/>
                <w:color w:val="000000"/>
                <w:szCs w:val="18"/>
                <w:lang w:eastAsia="it-IT"/>
              </w:rPr>
              <w:t xml:space="preserve">AA (mg TROLOX </w:t>
            </w:r>
            <w:proofErr w:type="spellStart"/>
            <w:r w:rsidRPr="000538D4">
              <w:rPr>
                <w:rFonts w:cs="Arial"/>
                <w:color w:val="000000"/>
                <w:szCs w:val="18"/>
                <w:lang w:eastAsia="it-IT"/>
              </w:rPr>
              <w:t>eq</w:t>
            </w:r>
            <w:proofErr w:type="spellEnd"/>
            <w:r w:rsidRPr="000538D4">
              <w:rPr>
                <w:rFonts w:cs="Arial"/>
                <w:color w:val="000000"/>
                <w:szCs w:val="18"/>
                <w:lang w:eastAsia="it-IT"/>
              </w:rPr>
              <w:t>/g sam</w:t>
            </w:r>
            <w:r>
              <w:rPr>
                <w:rFonts w:cs="Arial"/>
                <w:color w:val="000000"/>
                <w:szCs w:val="18"/>
                <w:lang w:eastAsia="it-IT"/>
              </w:rPr>
              <w:t>ple)</w:t>
            </w:r>
          </w:p>
        </w:tc>
        <w:tc>
          <w:tcPr>
            <w:tcW w:w="1091" w:type="dxa"/>
            <w:tcBorders>
              <w:bottom w:val="nil"/>
            </w:tcBorders>
            <w:shd w:val="clear" w:color="auto" w:fill="auto"/>
            <w:noWrap/>
            <w:vAlign w:val="bottom"/>
          </w:tcPr>
          <w:p w14:paraId="3EB9BE4C" w14:textId="5E58B32A" w:rsidR="00D42796" w:rsidRPr="005F5D73" w:rsidRDefault="00D42796" w:rsidP="00D42796">
            <w:pPr>
              <w:tabs>
                <w:tab w:val="clear" w:pos="7100"/>
              </w:tabs>
              <w:spacing w:line="240" w:lineRule="auto"/>
              <w:jc w:val="left"/>
              <w:rPr>
                <w:rFonts w:cs="Arial"/>
                <w:color w:val="000000"/>
                <w:szCs w:val="18"/>
                <w:vertAlign w:val="superscript"/>
                <w:lang w:eastAsia="it-IT"/>
              </w:rPr>
            </w:pPr>
            <w:r>
              <w:rPr>
                <w:rFonts w:cs="Arial"/>
                <w:color w:val="000000"/>
                <w:szCs w:val="18"/>
                <w:lang w:eastAsia="it-IT"/>
              </w:rPr>
              <w:t>0.09</w:t>
            </w:r>
            <w:r w:rsidRPr="003B12F4">
              <w:rPr>
                <w:rFonts w:cs="Arial"/>
                <w:color w:val="000000"/>
                <w:szCs w:val="18"/>
                <w:lang w:val="it-IT" w:eastAsia="it-IT"/>
              </w:rPr>
              <w:t>±</w:t>
            </w:r>
            <w:r>
              <w:rPr>
                <w:rFonts w:cs="Arial"/>
                <w:color w:val="000000"/>
                <w:szCs w:val="18"/>
                <w:lang w:val="it-IT" w:eastAsia="it-IT"/>
              </w:rPr>
              <w:t>0.01</w:t>
            </w:r>
            <w:r w:rsidRPr="005F5D73">
              <w:rPr>
                <w:rFonts w:cs="Arial"/>
                <w:color w:val="000000"/>
                <w:szCs w:val="18"/>
                <w:vertAlign w:val="superscript"/>
                <w:lang w:val="it-IT" w:eastAsia="it-IT"/>
              </w:rPr>
              <w:t>a</w:t>
            </w:r>
          </w:p>
        </w:tc>
        <w:tc>
          <w:tcPr>
            <w:tcW w:w="1193" w:type="dxa"/>
            <w:tcBorders>
              <w:bottom w:val="nil"/>
            </w:tcBorders>
            <w:shd w:val="clear" w:color="auto" w:fill="auto"/>
            <w:noWrap/>
            <w:vAlign w:val="bottom"/>
          </w:tcPr>
          <w:p w14:paraId="76C6373B" w14:textId="594D5748" w:rsidR="00D42796" w:rsidRPr="000538D4" w:rsidRDefault="00D42796" w:rsidP="00D42796">
            <w:pPr>
              <w:tabs>
                <w:tab w:val="clear" w:pos="7100"/>
              </w:tabs>
              <w:spacing w:line="240" w:lineRule="auto"/>
              <w:jc w:val="left"/>
              <w:rPr>
                <w:rFonts w:cs="Arial"/>
                <w:color w:val="000000"/>
                <w:szCs w:val="18"/>
                <w:lang w:eastAsia="it-IT"/>
              </w:rPr>
            </w:pPr>
            <w:r>
              <w:rPr>
                <w:rFonts w:cs="Arial"/>
                <w:color w:val="000000"/>
                <w:szCs w:val="18"/>
                <w:lang w:eastAsia="it-IT"/>
              </w:rPr>
              <w:t>0.1</w:t>
            </w:r>
            <w:r w:rsidRPr="003B12F4">
              <w:rPr>
                <w:rFonts w:cs="Arial"/>
                <w:color w:val="000000"/>
                <w:szCs w:val="18"/>
                <w:lang w:val="it-IT" w:eastAsia="it-IT"/>
              </w:rPr>
              <w:t>±</w:t>
            </w:r>
            <w:r>
              <w:rPr>
                <w:rFonts w:cs="Arial"/>
                <w:color w:val="000000"/>
                <w:szCs w:val="18"/>
                <w:lang w:val="it-IT" w:eastAsia="it-IT"/>
              </w:rPr>
              <w:t>0.02</w:t>
            </w:r>
            <w:r w:rsidRPr="00D20840">
              <w:rPr>
                <w:rFonts w:cs="Arial"/>
                <w:color w:val="000000"/>
                <w:szCs w:val="18"/>
                <w:vertAlign w:val="superscript"/>
                <w:lang w:val="it-IT" w:eastAsia="it-IT"/>
              </w:rPr>
              <w:t>a</w:t>
            </w:r>
          </w:p>
        </w:tc>
        <w:tc>
          <w:tcPr>
            <w:tcW w:w="1216" w:type="dxa"/>
            <w:tcBorders>
              <w:bottom w:val="nil"/>
            </w:tcBorders>
            <w:shd w:val="clear" w:color="auto" w:fill="auto"/>
            <w:noWrap/>
            <w:vAlign w:val="bottom"/>
          </w:tcPr>
          <w:p w14:paraId="2D41D988" w14:textId="542CC513" w:rsidR="00D42796" w:rsidRPr="000538D4" w:rsidRDefault="00D42796" w:rsidP="00D42796">
            <w:pPr>
              <w:tabs>
                <w:tab w:val="clear" w:pos="7100"/>
              </w:tabs>
              <w:spacing w:line="240" w:lineRule="auto"/>
              <w:jc w:val="left"/>
              <w:rPr>
                <w:rFonts w:cs="Arial"/>
                <w:color w:val="000000"/>
                <w:szCs w:val="18"/>
                <w:lang w:eastAsia="it-IT"/>
              </w:rPr>
            </w:pPr>
            <w:r>
              <w:rPr>
                <w:rFonts w:cs="Arial"/>
                <w:color w:val="000000"/>
                <w:szCs w:val="18"/>
                <w:lang w:eastAsia="it-IT"/>
              </w:rPr>
              <w:t>0.34</w:t>
            </w:r>
            <w:r w:rsidRPr="003B12F4">
              <w:rPr>
                <w:rFonts w:cs="Arial"/>
                <w:color w:val="000000"/>
                <w:szCs w:val="18"/>
                <w:lang w:val="it-IT" w:eastAsia="it-IT"/>
              </w:rPr>
              <w:t>±</w:t>
            </w:r>
            <w:r>
              <w:rPr>
                <w:rFonts w:cs="Arial"/>
                <w:color w:val="000000"/>
                <w:szCs w:val="18"/>
                <w:lang w:val="it-IT" w:eastAsia="it-IT"/>
              </w:rPr>
              <w:t>0.03</w:t>
            </w:r>
            <w:r w:rsidRPr="00D20840">
              <w:rPr>
                <w:rFonts w:cs="Arial"/>
                <w:color w:val="000000"/>
                <w:szCs w:val="18"/>
                <w:vertAlign w:val="superscript"/>
                <w:lang w:val="it-IT" w:eastAsia="it-IT"/>
              </w:rPr>
              <w:t>c</w:t>
            </w:r>
          </w:p>
        </w:tc>
        <w:tc>
          <w:tcPr>
            <w:tcW w:w="1100" w:type="dxa"/>
            <w:tcBorders>
              <w:bottom w:val="nil"/>
            </w:tcBorders>
            <w:shd w:val="clear" w:color="auto" w:fill="auto"/>
            <w:noWrap/>
            <w:vAlign w:val="bottom"/>
          </w:tcPr>
          <w:p w14:paraId="5242FD10" w14:textId="18AECD70" w:rsidR="00D42796" w:rsidRPr="000538D4" w:rsidRDefault="00D42796" w:rsidP="00D42796">
            <w:pPr>
              <w:tabs>
                <w:tab w:val="clear" w:pos="7100"/>
              </w:tabs>
              <w:spacing w:line="240" w:lineRule="auto"/>
              <w:jc w:val="left"/>
              <w:rPr>
                <w:rFonts w:cs="Arial"/>
                <w:color w:val="000000"/>
                <w:szCs w:val="18"/>
                <w:lang w:eastAsia="it-IT"/>
              </w:rPr>
            </w:pPr>
            <w:r>
              <w:rPr>
                <w:rFonts w:cs="Arial"/>
                <w:color w:val="000000"/>
                <w:szCs w:val="18"/>
                <w:lang w:eastAsia="it-IT"/>
              </w:rPr>
              <w:t>0.46</w:t>
            </w:r>
            <w:r w:rsidRPr="003B12F4">
              <w:rPr>
                <w:rFonts w:cs="Arial"/>
                <w:color w:val="000000"/>
                <w:szCs w:val="18"/>
                <w:lang w:val="it-IT" w:eastAsia="it-IT"/>
              </w:rPr>
              <w:t>±</w:t>
            </w:r>
            <w:r>
              <w:rPr>
                <w:rFonts w:cs="Arial"/>
                <w:color w:val="000000"/>
                <w:szCs w:val="18"/>
                <w:lang w:val="it-IT" w:eastAsia="it-IT"/>
              </w:rPr>
              <w:t>0.05</w:t>
            </w:r>
            <w:r w:rsidRPr="005F5D73">
              <w:rPr>
                <w:rFonts w:cs="Arial"/>
                <w:color w:val="000000"/>
                <w:szCs w:val="18"/>
                <w:vertAlign w:val="superscript"/>
                <w:lang w:val="it-IT" w:eastAsia="it-IT"/>
              </w:rPr>
              <w:t>d</w:t>
            </w:r>
            <w:r w:rsidRPr="005F5D73">
              <w:rPr>
                <w:rFonts w:cs="Arial"/>
                <w:color w:val="000000"/>
                <w:szCs w:val="18"/>
                <w:lang w:val="it-IT" w:eastAsia="it-IT"/>
              </w:rPr>
              <w:t>*</w:t>
            </w:r>
          </w:p>
        </w:tc>
        <w:tc>
          <w:tcPr>
            <w:tcW w:w="1100" w:type="dxa"/>
            <w:tcBorders>
              <w:bottom w:val="nil"/>
            </w:tcBorders>
            <w:shd w:val="clear" w:color="auto" w:fill="auto"/>
            <w:noWrap/>
            <w:vAlign w:val="bottom"/>
          </w:tcPr>
          <w:p w14:paraId="6EF333AA" w14:textId="11EBE1A9" w:rsidR="00D42796" w:rsidRPr="000538D4" w:rsidRDefault="00D42796" w:rsidP="00D42796">
            <w:pPr>
              <w:tabs>
                <w:tab w:val="clear" w:pos="7100"/>
              </w:tabs>
              <w:spacing w:line="240" w:lineRule="auto"/>
              <w:jc w:val="left"/>
              <w:rPr>
                <w:rFonts w:cs="Arial"/>
                <w:color w:val="000000"/>
                <w:szCs w:val="18"/>
                <w:lang w:eastAsia="it-IT"/>
              </w:rPr>
            </w:pPr>
            <w:r>
              <w:rPr>
                <w:rFonts w:cs="Arial"/>
                <w:color w:val="000000"/>
                <w:szCs w:val="18"/>
                <w:lang w:eastAsia="it-IT"/>
              </w:rPr>
              <w:t>0.2</w:t>
            </w:r>
            <w:r w:rsidRPr="003B12F4">
              <w:rPr>
                <w:rFonts w:cs="Arial"/>
                <w:color w:val="000000"/>
                <w:szCs w:val="18"/>
                <w:lang w:val="it-IT" w:eastAsia="it-IT"/>
              </w:rPr>
              <w:t>±</w:t>
            </w:r>
            <w:r>
              <w:rPr>
                <w:rFonts w:cs="Arial"/>
                <w:color w:val="000000"/>
                <w:szCs w:val="18"/>
                <w:lang w:val="it-IT" w:eastAsia="it-IT"/>
              </w:rPr>
              <w:t>0.1</w:t>
            </w:r>
            <w:r w:rsidRPr="00D20840">
              <w:rPr>
                <w:rFonts w:cs="Arial"/>
                <w:color w:val="000000"/>
                <w:szCs w:val="18"/>
                <w:vertAlign w:val="superscript"/>
                <w:lang w:val="it-IT" w:eastAsia="it-IT"/>
              </w:rPr>
              <w:t>b</w:t>
            </w:r>
          </w:p>
        </w:tc>
      </w:tr>
      <w:tr w:rsidR="00E46297" w:rsidRPr="00E46297" w14:paraId="2907B4D0" w14:textId="77777777" w:rsidTr="00FB1B25">
        <w:trPr>
          <w:trHeight w:val="290"/>
        </w:trPr>
        <w:tc>
          <w:tcPr>
            <w:tcW w:w="960" w:type="dxa"/>
            <w:tcBorders>
              <w:top w:val="nil"/>
              <w:bottom w:val="single" w:sz="12" w:space="0" w:color="008000"/>
            </w:tcBorders>
            <w:shd w:val="clear" w:color="auto" w:fill="auto"/>
            <w:noWrap/>
            <w:vAlign w:val="bottom"/>
          </w:tcPr>
          <w:p w14:paraId="2EC0508B" w14:textId="77777777" w:rsidR="00E46297" w:rsidRPr="003B12F4" w:rsidRDefault="00E46297" w:rsidP="00D42796">
            <w:pPr>
              <w:tabs>
                <w:tab w:val="clear" w:pos="7100"/>
              </w:tabs>
              <w:spacing w:line="240" w:lineRule="auto"/>
              <w:jc w:val="left"/>
              <w:rPr>
                <w:rFonts w:cs="Arial"/>
                <w:color w:val="000000"/>
                <w:szCs w:val="18"/>
                <w:lang w:val="it-IT" w:eastAsia="it-IT"/>
              </w:rPr>
            </w:pPr>
          </w:p>
        </w:tc>
        <w:tc>
          <w:tcPr>
            <w:tcW w:w="2726" w:type="dxa"/>
            <w:tcBorders>
              <w:top w:val="nil"/>
              <w:bottom w:val="single" w:sz="12" w:space="0" w:color="008000"/>
            </w:tcBorders>
            <w:shd w:val="clear" w:color="auto" w:fill="auto"/>
            <w:noWrap/>
            <w:vAlign w:val="bottom"/>
          </w:tcPr>
          <w:p w14:paraId="22DEAA1B" w14:textId="395F9A4F" w:rsidR="00E46297" w:rsidRPr="00E46297" w:rsidRDefault="00E46297" w:rsidP="00D42796">
            <w:pPr>
              <w:tabs>
                <w:tab w:val="clear" w:pos="7100"/>
              </w:tabs>
              <w:spacing w:line="240" w:lineRule="auto"/>
              <w:jc w:val="left"/>
              <w:rPr>
                <w:rFonts w:cs="Arial"/>
                <w:color w:val="000000"/>
                <w:szCs w:val="18"/>
                <w:lang w:eastAsia="it-IT"/>
              </w:rPr>
            </w:pPr>
            <w:r w:rsidRPr="00E46297">
              <w:rPr>
                <w:rFonts w:cs="Arial"/>
                <w:color w:val="000000"/>
                <w:szCs w:val="18"/>
                <w:lang w:eastAsia="it-IT"/>
              </w:rPr>
              <w:t>TPC (mg GAE/g sa</w:t>
            </w:r>
            <w:r w:rsidRPr="00D20840">
              <w:rPr>
                <w:rFonts w:cs="Arial"/>
                <w:color w:val="000000"/>
                <w:szCs w:val="18"/>
                <w:lang w:eastAsia="it-IT"/>
              </w:rPr>
              <w:t>mple</w:t>
            </w:r>
            <w:r>
              <w:rPr>
                <w:rFonts w:cs="Arial"/>
                <w:color w:val="000000"/>
                <w:szCs w:val="18"/>
                <w:lang w:eastAsia="it-IT"/>
              </w:rPr>
              <w:t>)</w:t>
            </w:r>
          </w:p>
        </w:tc>
        <w:tc>
          <w:tcPr>
            <w:tcW w:w="1091" w:type="dxa"/>
            <w:tcBorders>
              <w:top w:val="nil"/>
              <w:bottom w:val="single" w:sz="12" w:space="0" w:color="008000"/>
            </w:tcBorders>
            <w:shd w:val="clear" w:color="auto" w:fill="auto"/>
            <w:noWrap/>
            <w:vAlign w:val="bottom"/>
          </w:tcPr>
          <w:p w14:paraId="53309DD5" w14:textId="59B146D0" w:rsidR="00E46297" w:rsidRPr="00E46297" w:rsidRDefault="00E46297" w:rsidP="00D42796">
            <w:pPr>
              <w:tabs>
                <w:tab w:val="clear" w:pos="7100"/>
              </w:tabs>
              <w:spacing w:line="240" w:lineRule="auto"/>
              <w:jc w:val="left"/>
              <w:rPr>
                <w:rFonts w:cs="Arial"/>
                <w:color w:val="000000"/>
                <w:szCs w:val="18"/>
                <w:lang w:eastAsia="it-IT"/>
              </w:rPr>
            </w:pPr>
            <w:r>
              <w:rPr>
                <w:rFonts w:cs="Arial"/>
                <w:color w:val="000000"/>
                <w:szCs w:val="18"/>
                <w:lang w:eastAsia="it-IT"/>
              </w:rPr>
              <w:t>0.97</w:t>
            </w:r>
            <w:r w:rsidRPr="003B12F4">
              <w:rPr>
                <w:rFonts w:cs="Arial"/>
                <w:color w:val="000000"/>
                <w:szCs w:val="18"/>
                <w:lang w:val="it-IT" w:eastAsia="it-IT"/>
              </w:rPr>
              <w:t>±</w:t>
            </w:r>
            <w:r>
              <w:rPr>
                <w:rFonts w:cs="Arial"/>
                <w:color w:val="000000"/>
                <w:szCs w:val="18"/>
                <w:lang w:val="it-IT" w:eastAsia="it-IT"/>
              </w:rPr>
              <w:t>0.01</w:t>
            </w:r>
            <w:r w:rsidRPr="00D20840">
              <w:rPr>
                <w:rFonts w:cs="Arial"/>
                <w:color w:val="000000"/>
                <w:szCs w:val="18"/>
                <w:vertAlign w:val="superscript"/>
                <w:lang w:val="it-IT" w:eastAsia="it-IT"/>
              </w:rPr>
              <w:t>a</w:t>
            </w:r>
          </w:p>
        </w:tc>
        <w:tc>
          <w:tcPr>
            <w:tcW w:w="1193" w:type="dxa"/>
            <w:tcBorders>
              <w:top w:val="nil"/>
              <w:bottom w:val="single" w:sz="12" w:space="0" w:color="008000"/>
            </w:tcBorders>
            <w:shd w:val="clear" w:color="auto" w:fill="auto"/>
            <w:noWrap/>
            <w:vAlign w:val="bottom"/>
          </w:tcPr>
          <w:p w14:paraId="0B23CDEC" w14:textId="67888BC5" w:rsidR="00E46297" w:rsidRPr="00E46297" w:rsidRDefault="00E46297" w:rsidP="00D42796">
            <w:pPr>
              <w:tabs>
                <w:tab w:val="clear" w:pos="7100"/>
              </w:tabs>
              <w:spacing w:line="240" w:lineRule="auto"/>
              <w:jc w:val="left"/>
              <w:rPr>
                <w:rFonts w:cs="Arial"/>
                <w:color w:val="000000"/>
                <w:szCs w:val="18"/>
                <w:lang w:eastAsia="it-IT"/>
              </w:rPr>
            </w:pPr>
            <w:r>
              <w:rPr>
                <w:rFonts w:cs="Arial"/>
                <w:color w:val="000000"/>
                <w:szCs w:val="18"/>
                <w:lang w:eastAsia="it-IT"/>
              </w:rPr>
              <w:t>0.99</w:t>
            </w:r>
            <w:r w:rsidRPr="003B12F4">
              <w:rPr>
                <w:rFonts w:cs="Arial"/>
                <w:color w:val="000000"/>
                <w:szCs w:val="18"/>
                <w:lang w:val="it-IT" w:eastAsia="it-IT"/>
              </w:rPr>
              <w:t>±</w:t>
            </w:r>
            <w:r>
              <w:rPr>
                <w:rFonts w:cs="Arial"/>
                <w:color w:val="000000"/>
                <w:szCs w:val="18"/>
                <w:lang w:val="it-IT" w:eastAsia="it-IT"/>
              </w:rPr>
              <w:t>0.04</w:t>
            </w:r>
            <w:r w:rsidRPr="00D20840">
              <w:rPr>
                <w:rFonts w:cs="Arial"/>
                <w:color w:val="000000"/>
                <w:szCs w:val="18"/>
                <w:vertAlign w:val="superscript"/>
                <w:lang w:val="it-IT" w:eastAsia="it-IT"/>
              </w:rPr>
              <w:t>a</w:t>
            </w:r>
          </w:p>
        </w:tc>
        <w:tc>
          <w:tcPr>
            <w:tcW w:w="1216" w:type="dxa"/>
            <w:tcBorders>
              <w:top w:val="nil"/>
              <w:bottom w:val="single" w:sz="12" w:space="0" w:color="008000"/>
            </w:tcBorders>
            <w:shd w:val="clear" w:color="auto" w:fill="auto"/>
            <w:noWrap/>
            <w:vAlign w:val="bottom"/>
          </w:tcPr>
          <w:p w14:paraId="779F8C88" w14:textId="6D0C8312" w:rsidR="00E46297" w:rsidRPr="00E46297" w:rsidRDefault="00E46297" w:rsidP="00D42796">
            <w:pPr>
              <w:tabs>
                <w:tab w:val="clear" w:pos="7100"/>
              </w:tabs>
              <w:spacing w:line="240" w:lineRule="auto"/>
              <w:jc w:val="left"/>
              <w:rPr>
                <w:rFonts w:cs="Arial"/>
                <w:color w:val="000000"/>
                <w:szCs w:val="18"/>
                <w:lang w:eastAsia="it-IT"/>
              </w:rPr>
            </w:pPr>
            <w:r>
              <w:rPr>
                <w:rFonts w:cs="Arial"/>
                <w:color w:val="000000"/>
                <w:szCs w:val="18"/>
                <w:lang w:eastAsia="it-IT"/>
              </w:rPr>
              <w:t>1.11</w:t>
            </w:r>
            <w:r w:rsidRPr="003B12F4">
              <w:rPr>
                <w:rFonts w:cs="Arial"/>
                <w:color w:val="000000"/>
                <w:szCs w:val="18"/>
                <w:lang w:val="it-IT" w:eastAsia="it-IT"/>
              </w:rPr>
              <w:t>±</w:t>
            </w:r>
            <w:r>
              <w:rPr>
                <w:rFonts w:cs="Arial"/>
                <w:color w:val="000000"/>
                <w:szCs w:val="18"/>
                <w:lang w:val="it-IT" w:eastAsia="it-IT"/>
              </w:rPr>
              <w:t>0.02</w:t>
            </w:r>
            <w:r w:rsidRPr="00D20840">
              <w:rPr>
                <w:rFonts w:cs="Arial"/>
                <w:color w:val="000000"/>
                <w:szCs w:val="18"/>
                <w:vertAlign w:val="superscript"/>
                <w:lang w:val="it-IT" w:eastAsia="it-IT"/>
              </w:rPr>
              <w:t>b</w:t>
            </w:r>
            <w:r w:rsidR="00D43E24" w:rsidRPr="00D20840">
              <w:rPr>
                <w:rFonts w:cs="Arial"/>
                <w:color w:val="000000"/>
                <w:szCs w:val="18"/>
                <w:lang w:val="it-IT" w:eastAsia="it-IT"/>
              </w:rPr>
              <w:t>*</w:t>
            </w:r>
          </w:p>
        </w:tc>
        <w:tc>
          <w:tcPr>
            <w:tcW w:w="1100" w:type="dxa"/>
            <w:tcBorders>
              <w:top w:val="nil"/>
              <w:bottom w:val="single" w:sz="12" w:space="0" w:color="008000"/>
            </w:tcBorders>
            <w:shd w:val="clear" w:color="auto" w:fill="auto"/>
            <w:noWrap/>
            <w:vAlign w:val="bottom"/>
          </w:tcPr>
          <w:p w14:paraId="3EDF2748" w14:textId="1EEB87DF" w:rsidR="00E46297" w:rsidRPr="00E46297" w:rsidRDefault="00E46297" w:rsidP="00D42796">
            <w:pPr>
              <w:tabs>
                <w:tab w:val="clear" w:pos="7100"/>
              </w:tabs>
              <w:spacing w:line="240" w:lineRule="auto"/>
              <w:jc w:val="left"/>
              <w:rPr>
                <w:rFonts w:cs="Arial"/>
                <w:color w:val="000000"/>
                <w:szCs w:val="18"/>
                <w:lang w:eastAsia="it-IT"/>
              </w:rPr>
            </w:pPr>
            <w:r>
              <w:rPr>
                <w:rFonts w:cs="Arial"/>
                <w:color w:val="000000"/>
                <w:szCs w:val="18"/>
                <w:lang w:eastAsia="it-IT"/>
              </w:rPr>
              <w:t>1.2</w:t>
            </w:r>
            <w:r w:rsidRPr="003B12F4">
              <w:rPr>
                <w:rFonts w:cs="Arial"/>
                <w:color w:val="000000"/>
                <w:szCs w:val="18"/>
                <w:lang w:val="it-IT" w:eastAsia="it-IT"/>
              </w:rPr>
              <w:t>±</w:t>
            </w:r>
            <w:r>
              <w:rPr>
                <w:rFonts w:cs="Arial"/>
                <w:color w:val="000000"/>
                <w:szCs w:val="18"/>
                <w:lang w:val="it-IT" w:eastAsia="it-IT"/>
              </w:rPr>
              <w:t>0.02</w:t>
            </w:r>
            <w:r w:rsidRPr="00D20840">
              <w:rPr>
                <w:rFonts w:cs="Arial"/>
                <w:color w:val="000000"/>
                <w:szCs w:val="18"/>
                <w:vertAlign w:val="superscript"/>
                <w:lang w:val="it-IT" w:eastAsia="it-IT"/>
              </w:rPr>
              <w:t>c</w:t>
            </w:r>
            <w:r w:rsidR="00D43E24" w:rsidRPr="00284C41">
              <w:rPr>
                <w:rFonts w:cs="Arial"/>
                <w:color w:val="000000"/>
                <w:szCs w:val="18"/>
                <w:lang w:val="it-IT" w:eastAsia="it-IT"/>
              </w:rPr>
              <w:t>*</w:t>
            </w:r>
          </w:p>
        </w:tc>
        <w:tc>
          <w:tcPr>
            <w:tcW w:w="1100" w:type="dxa"/>
            <w:tcBorders>
              <w:top w:val="nil"/>
              <w:bottom w:val="single" w:sz="12" w:space="0" w:color="008000"/>
            </w:tcBorders>
            <w:shd w:val="clear" w:color="auto" w:fill="auto"/>
            <w:noWrap/>
            <w:vAlign w:val="bottom"/>
          </w:tcPr>
          <w:p w14:paraId="11F2C1F6" w14:textId="0339EBE6" w:rsidR="00E46297" w:rsidRPr="00E46297" w:rsidRDefault="00E46297" w:rsidP="00D42796">
            <w:pPr>
              <w:tabs>
                <w:tab w:val="clear" w:pos="7100"/>
              </w:tabs>
              <w:spacing w:line="240" w:lineRule="auto"/>
              <w:jc w:val="left"/>
              <w:rPr>
                <w:rFonts w:cs="Arial"/>
                <w:color w:val="000000"/>
                <w:szCs w:val="18"/>
                <w:lang w:eastAsia="it-IT"/>
              </w:rPr>
            </w:pPr>
            <w:r>
              <w:rPr>
                <w:rFonts w:cs="Arial"/>
                <w:color w:val="000000"/>
                <w:szCs w:val="18"/>
                <w:lang w:eastAsia="it-IT"/>
              </w:rPr>
              <w:t>1.28</w:t>
            </w:r>
            <w:r w:rsidRPr="003B12F4">
              <w:rPr>
                <w:rFonts w:cs="Arial"/>
                <w:color w:val="000000"/>
                <w:szCs w:val="18"/>
                <w:lang w:val="it-IT" w:eastAsia="it-IT"/>
              </w:rPr>
              <w:t>±</w:t>
            </w:r>
            <w:r>
              <w:rPr>
                <w:rFonts w:cs="Arial"/>
                <w:color w:val="000000"/>
                <w:szCs w:val="18"/>
                <w:lang w:val="it-IT" w:eastAsia="it-IT"/>
              </w:rPr>
              <w:t>0.08</w:t>
            </w:r>
            <w:r w:rsidRPr="00D20840">
              <w:rPr>
                <w:rFonts w:cs="Arial"/>
                <w:color w:val="000000"/>
                <w:szCs w:val="18"/>
                <w:vertAlign w:val="superscript"/>
                <w:lang w:val="it-IT" w:eastAsia="it-IT"/>
              </w:rPr>
              <w:t>d</w:t>
            </w:r>
            <w:r w:rsidR="00D43E24" w:rsidRPr="00284C41">
              <w:rPr>
                <w:rFonts w:cs="Arial"/>
                <w:color w:val="000000"/>
                <w:szCs w:val="18"/>
                <w:lang w:val="it-IT" w:eastAsia="it-IT"/>
              </w:rPr>
              <w:t>*</w:t>
            </w:r>
          </w:p>
        </w:tc>
      </w:tr>
    </w:tbl>
    <w:p w14:paraId="48A4DC0E" w14:textId="37636B09" w:rsidR="00ED67E7" w:rsidRPr="003B12F4" w:rsidRDefault="00A82516" w:rsidP="00600535">
      <w:pPr>
        <w:pStyle w:val="CETBodytext"/>
        <w:rPr>
          <w:sz w:val="16"/>
          <w:szCs w:val="18"/>
        </w:rPr>
      </w:pPr>
      <w:r w:rsidRPr="003B12F4">
        <w:rPr>
          <w:sz w:val="16"/>
          <w:szCs w:val="18"/>
        </w:rPr>
        <w:t>Different letters show a significant effect of time (p &lt; 0.05); * significant effect of coating (p &lt; 0.05)</w:t>
      </w:r>
    </w:p>
    <w:p w14:paraId="5C7D295F" w14:textId="77777777" w:rsidR="00A82516" w:rsidRDefault="00A82516" w:rsidP="00600535">
      <w:pPr>
        <w:pStyle w:val="CETBodytext"/>
      </w:pPr>
    </w:p>
    <w:p w14:paraId="221C4752" w14:textId="0DC16C0E" w:rsidR="7DC12D87" w:rsidRPr="003A006A" w:rsidRDefault="00751BE3" w:rsidP="003A006A">
      <w:pPr>
        <w:pStyle w:val="CETHeadingxx"/>
      </w:pPr>
      <w:r w:rsidRPr="003A006A">
        <w:t>Total poly</w:t>
      </w:r>
      <w:r w:rsidR="007700AC" w:rsidRPr="003A006A">
        <w:t>phenol content and antioxidant activity</w:t>
      </w:r>
    </w:p>
    <w:p w14:paraId="505AFC6C" w14:textId="64AEA3A2" w:rsidR="007700AC" w:rsidRPr="00D20840" w:rsidRDefault="007700AC" w:rsidP="007700AC">
      <w:pPr>
        <w:pStyle w:val="CETBodytext"/>
        <w:rPr>
          <w:rStyle w:val="CETHeadingxxChar"/>
          <w:b w:val="0"/>
          <w:bCs/>
        </w:rPr>
      </w:pPr>
      <w:r>
        <w:rPr>
          <w:rStyle w:val="CETHeadingxxChar"/>
          <w:b w:val="0"/>
          <w:bCs/>
        </w:rPr>
        <w:t xml:space="preserve">In table 1 are reported the TPC and AA of MC tomatoes stored at 4°C over time. </w:t>
      </w:r>
      <w:r w:rsidR="00F528F2">
        <w:rPr>
          <w:rStyle w:val="CETHeadingxxChar"/>
          <w:b w:val="0"/>
          <w:bCs/>
        </w:rPr>
        <w:t xml:space="preserve">TPC for control sample increased, reaching a peak at 6 </w:t>
      </w:r>
      <w:proofErr w:type="gramStart"/>
      <w:r w:rsidR="00F528F2">
        <w:rPr>
          <w:rStyle w:val="CETHeadingxxChar"/>
          <w:b w:val="0"/>
          <w:bCs/>
        </w:rPr>
        <w:t>days</w:t>
      </w:r>
      <w:proofErr w:type="gramEnd"/>
      <w:r w:rsidR="00F528F2">
        <w:rPr>
          <w:rStyle w:val="CETHeadingxxChar"/>
          <w:b w:val="0"/>
          <w:bCs/>
        </w:rPr>
        <w:t xml:space="preserve"> and then decreasing again. The treated samples, on the contrary, showed </w:t>
      </w:r>
      <w:r w:rsidR="00D20840">
        <w:rPr>
          <w:rStyle w:val="CETHeadingxxChar"/>
          <w:b w:val="0"/>
          <w:bCs/>
        </w:rPr>
        <w:t xml:space="preserve">a significant (p&lt;0.05) increase over time up to 14 days. These results </w:t>
      </w:r>
      <w:proofErr w:type="gramStart"/>
      <w:r w:rsidR="00D20840">
        <w:rPr>
          <w:rStyle w:val="CETHeadingxxChar"/>
          <w:b w:val="0"/>
          <w:bCs/>
        </w:rPr>
        <w:t>are in agreement</w:t>
      </w:r>
      <w:proofErr w:type="gramEnd"/>
      <w:r w:rsidR="00D20840">
        <w:rPr>
          <w:rStyle w:val="CETHeadingxxChar"/>
          <w:b w:val="0"/>
          <w:bCs/>
        </w:rPr>
        <w:t xml:space="preserve"> with Ali et el., (2013) which found a decrease in TPC at 8 days of storage for the control, due to the higher respiration rate, which led to a </w:t>
      </w:r>
      <w:r w:rsidR="00D20840" w:rsidRPr="00D20840">
        <w:rPr>
          <w:rStyle w:val="CETHeadingxxChar"/>
          <w:b w:val="0"/>
          <w:bCs/>
        </w:rPr>
        <w:t>degradation of</w:t>
      </w:r>
      <w:r w:rsidR="00D20840">
        <w:rPr>
          <w:rStyle w:val="CETHeadingxxChar"/>
          <w:b w:val="0"/>
          <w:bCs/>
        </w:rPr>
        <w:t xml:space="preserve"> </w:t>
      </w:r>
      <w:r w:rsidR="00D20840" w:rsidRPr="00D20840">
        <w:rPr>
          <w:rStyle w:val="CETHeadingxxChar"/>
          <w:b w:val="0"/>
          <w:bCs/>
        </w:rPr>
        <w:t>certain phenolic</w:t>
      </w:r>
      <w:r w:rsidR="00D20840">
        <w:rPr>
          <w:rStyle w:val="CETHeadingxxChar"/>
          <w:b w:val="0"/>
          <w:bCs/>
        </w:rPr>
        <w:t xml:space="preserve"> </w:t>
      </w:r>
      <w:r w:rsidR="00D20840" w:rsidRPr="00D20840">
        <w:rPr>
          <w:rStyle w:val="CETHeadingxxChar"/>
          <w:b w:val="0"/>
          <w:bCs/>
        </w:rPr>
        <w:t>compounds</w:t>
      </w:r>
      <w:r w:rsidR="00D20840">
        <w:rPr>
          <w:rStyle w:val="CETHeadingxxChar"/>
          <w:b w:val="0"/>
          <w:bCs/>
        </w:rPr>
        <w:t>. No differences were observed in terms of AA between the control and treated sample.</w:t>
      </w:r>
    </w:p>
    <w:p w14:paraId="29F57BDC" w14:textId="0469C7C7" w:rsidR="0DE7C19C" w:rsidRDefault="0DE7C19C" w:rsidP="003A006A">
      <w:pPr>
        <w:pStyle w:val="CETHeadingxx"/>
      </w:pPr>
      <w:r w:rsidRPr="003B12F4">
        <w:t>Microbial count</w:t>
      </w:r>
    </w:p>
    <w:p w14:paraId="07DD906C" w14:textId="74FBDC2E" w:rsidR="4F815D17" w:rsidRDefault="77B728DF" w:rsidP="35CD2986">
      <w:pPr>
        <w:spacing w:line="257" w:lineRule="auto"/>
        <w:rPr>
          <w:rFonts w:eastAsia="Arial" w:cs="Arial"/>
          <w:szCs w:val="18"/>
          <w:lang w:val="en-US"/>
        </w:rPr>
      </w:pPr>
      <w:r w:rsidRPr="003B12F4">
        <w:rPr>
          <w:rFonts w:eastAsia="Arial" w:cs="Arial"/>
          <w:szCs w:val="18"/>
          <w:lang w:val="en-US"/>
        </w:rPr>
        <w:t xml:space="preserve">The results on microbial count are reported in Table 2. Samples showed significant differences on microbial groups analyzed where, in general, </w:t>
      </w:r>
      <w:r w:rsidR="7DC87551" w:rsidRPr="003B12F4">
        <w:rPr>
          <w:rFonts w:eastAsia="Arial" w:cs="Arial"/>
          <w:szCs w:val="18"/>
          <w:lang w:val="en-US"/>
        </w:rPr>
        <w:t>treated</w:t>
      </w:r>
      <w:r w:rsidRPr="003B12F4">
        <w:rPr>
          <w:rFonts w:eastAsia="Arial" w:cs="Arial"/>
          <w:szCs w:val="18"/>
          <w:lang w:val="en-US"/>
        </w:rPr>
        <w:t xml:space="preserve"> samples showed the lowest Log CFU/cm</w:t>
      </w:r>
      <w:r w:rsidRPr="003B12F4">
        <w:rPr>
          <w:rFonts w:eastAsia="Arial" w:cs="Arial"/>
          <w:szCs w:val="18"/>
          <w:vertAlign w:val="superscript"/>
          <w:lang w:val="en-US"/>
        </w:rPr>
        <w:t>2</w:t>
      </w:r>
      <w:r w:rsidRPr="003B12F4">
        <w:rPr>
          <w:rFonts w:eastAsia="Arial" w:cs="Arial"/>
          <w:szCs w:val="18"/>
          <w:lang w:val="en-US"/>
        </w:rPr>
        <w:t xml:space="preserve"> of microbial groups compared to </w:t>
      </w:r>
      <w:r w:rsidR="1211E0E9" w:rsidRPr="003B12F4">
        <w:rPr>
          <w:rFonts w:eastAsia="Arial" w:cs="Arial"/>
          <w:szCs w:val="18"/>
          <w:lang w:val="en-US"/>
        </w:rPr>
        <w:t>controls</w:t>
      </w:r>
      <w:r w:rsidRPr="003B12F4">
        <w:rPr>
          <w:rFonts w:eastAsia="Arial" w:cs="Arial"/>
          <w:szCs w:val="18"/>
          <w:lang w:val="en-US"/>
        </w:rPr>
        <w:t xml:space="preserve"> until the end of storage.</w:t>
      </w:r>
      <w:r w:rsidR="0724A273" w:rsidRPr="003B12F4">
        <w:rPr>
          <w:rFonts w:eastAsia="Arial" w:cs="Arial"/>
          <w:szCs w:val="18"/>
          <w:lang w:val="en-US"/>
        </w:rPr>
        <w:t xml:space="preserve"> In details</w:t>
      </w:r>
      <w:r w:rsidR="56BC3B3A" w:rsidRPr="003B12F4">
        <w:rPr>
          <w:rFonts w:eastAsia="Arial" w:cs="Arial"/>
          <w:szCs w:val="18"/>
          <w:lang w:val="en-US"/>
        </w:rPr>
        <w:t>,</w:t>
      </w:r>
      <w:r w:rsidR="11712219" w:rsidRPr="003B12F4">
        <w:rPr>
          <w:rFonts w:eastAsia="Arial" w:cs="Arial"/>
          <w:szCs w:val="18"/>
          <w:lang w:val="en-US"/>
        </w:rPr>
        <w:t xml:space="preserve"> at 14 days of storage,</w:t>
      </w:r>
      <w:r w:rsidR="2BE9B92B" w:rsidRPr="003B12F4">
        <w:rPr>
          <w:rFonts w:eastAsia="Arial" w:cs="Arial"/>
          <w:szCs w:val="18"/>
          <w:lang w:val="en-US"/>
        </w:rPr>
        <w:t xml:space="preserve"> Y&amp;M, </w:t>
      </w:r>
      <w:proofErr w:type="gramStart"/>
      <w:r w:rsidR="2BE9B92B" w:rsidRPr="003B12F4">
        <w:rPr>
          <w:rFonts w:eastAsia="Arial" w:cs="Arial"/>
          <w:szCs w:val="18"/>
          <w:lang w:val="en-US"/>
        </w:rPr>
        <w:t>ENT</w:t>
      </w:r>
      <w:proofErr w:type="gramEnd"/>
      <w:r w:rsidR="2BE9B92B" w:rsidRPr="003B12F4">
        <w:rPr>
          <w:rFonts w:eastAsia="Arial" w:cs="Arial"/>
          <w:szCs w:val="18"/>
          <w:lang w:val="en-US"/>
        </w:rPr>
        <w:t xml:space="preserve"> and PSA</w:t>
      </w:r>
      <w:r w:rsidR="656F5072" w:rsidRPr="003B12F4">
        <w:rPr>
          <w:rFonts w:eastAsia="Arial" w:cs="Arial"/>
          <w:szCs w:val="18"/>
          <w:lang w:val="en-US"/>
        </w:rPr>
        <w:t xml:space="preserve"> </w:t>
      </w:r>
      <w:r w:rsidR="1F4102C5" w:rsidRPr="003B12F4">
        <w:rPr>
          <w:rFonts w:eastAsia="Arial" w:cs="Arial"/>
          <w:szCs w:val="18"/>
          <w:lang w:val="en-US"/>
        </w:rPr>
        <w:t>were completely absent in treated samples while TBC</w:t>
      </w:r>
      <w:r w:rsidR="6687D10D" w:rsidRPr="003B12F4">
        <w:rPr>
          <w:rFonts w:eastAsia="Arial" w:cs="Arial"/>
          <w:szCs w:val="18"/>
          <w:lang w:val="en-US"/>
        </w:rPr>
        <w:t xml:space="preserve"> and PB were reduced of</w:t>
      </w:r>
      <w:r w:rsidR="56560872" w:rsidRPr="003B12F4">
        <w:rPr>
          <w:rFonts w:eastAsia="Arial" w:cs="Arial"/>
          <w:szCs w:val="18"/>
          <w:lang w:val="en-US"/>
        </w:rPr>
        <w:t xml:space="preserve"> </w:t>
      </w:r>
      <w:r w:rsidR="6687D10D" w:rsidRPr="003B12F4">
        <w:rPr>
          <w:rFonts w:eastAsia="Arial" w:cs="Arial"/>
          <w:szCs w:val="18"/>
          <w:lang w:val="en-US"/>
        </w:rPr>
        <w:t>about 2 Log in treated samples compared to the controls</w:t>
      </w:r>
      <w:r w:rsidR="7350C021" w:rsidRPr="003B12F4">
        <w:rPr>
          <w:rFonts w:eastAsia="Arial" w:cs="Arial"/>
          <w:szCs w:val="18"/>
          <w:lang w:val="en-US"/>
        </w:rPr>
        <w:t>.</w:t>
      </w:r>
      <w:r w:rsidR="656F5072" w:rsidRPr="003B12F4">
        <w:rPr>
          <w:rFonts w:eastAsia="Arial" w:cs="Arial"/>
          <w:szCs w:val="18"/>
          <w:lang w:val="en-US"/>
        </w:rPr>
        <w:t xml:space="preserve"> </w:t>
      </w:r>
    </w:p>
    <w:p w14:paraId="52FE698C" w14:textId="097F0A97" w:rsidR="4F815D17" w:rsidRPr="005F5D73" w:rsidRDefault="00F1553C" w:rsidP="003A006A">
      <w:pPr>
        <w:pStyle w:val="CETTabletitle"/>
        <w:rPr>
          <w:b/>
          <w:bCs/>
        </w:rPr>
      </w:pPr>
      <w:r w:rsidRPr="003B12F4">
        <w:t xml:space="preserve">Table 2: </w:t>
      </w:r>
      <w:r w:rsidRPr="003B12F4">
        <w:rPr>
          <w:rFonts w:eastAsia="Arial"/>
        </w:rPr>
        <w:t>Microbial populations (Log CFU/cm</w:t>
      </w:r>
      <w:r w:rsidRPr="003B12F4">
        <w:rPr>
          <w:rFonts w:eastAsia="Arial"/>
          <w:vertAlign w:val="superscript"/>
        </w:rPr>
        <w:t>2</w:t>
      </w:r>
      <w:r w:rsidRPr="003B12F4">
        <w:rPr>
          <w:rFonts w:eastAsia="Arial"/>
        </w:rPr>
        <w:t>) of cherry tomatoes</w:t>
      </w:r>
    </w:p>
    <w:tbl>
      <w:tblPr>
        <w:tblW w:w="8145" w:type="dxa"/>
        <w:tblLayout w:type="fixed"/>
        <w:tblLook w:val="04A0" w:firstRow="1" w:lastRow="0" w:firstColumn="1" w:lastColumn="0" w:noHBand="0" w:noVBand="1"/>
      </w:tblPr>
      <w:tblGrid>
        <w:gridCol w:w="930"/>
        <w:gridCol w:w="1080"/>
        <w:gridCol w:w="1227"/>
        <w:gridCol w:w="1227"/>
        <w:gridCol w:w="1227"/>
        <w:gridCol w:w="1227"/>
        <w:gridCol w:w="1227"/>
      </w:tblGrid>
      <w:tr w:rsidR="0FA78656" w14:paraId="69682F8F" w14:textId="77777777" w:rsidTr="003B12F4">
        <w:trPr>
          <w:trHeight w:val="270"/>
        </w:trPr>
        <w:tc>
          <w:tcPr>
            <w:tcW w:w="930" w:type="dxa"/>
            <w:tcBorders>
              <w:top w:val="single" w:sz="12" w:space="0" w:color="008000"/>
              <w:left w:val="nil"/>
              <w:bottom w:val="single" w:sz="8" w:space="0" w:color="008000"/>
              <w:right w:val="nil"/>
            </w:tcBorders>
            <w:vAlign w:val="bottom"/>
          </w:tcPr>
          <w:p w14:paraId="56952A5D" w14:textId="79DD17CE" w:rsidR="0FA78656" w:rsidRDefault="0FA78656">
            <w:pPr>
              <w:rPr>
                <w:rFonts w:eastAsia="Arial" w:cs="Arial"/>
                <w:color w:val="000000" w:themeColor="text1"/>
              </w:rPr>
            </w:pPr>
            <w:r w:rsidRPr="0F2E0A01">
              <w:rPr>
                <w:rFonts w:eastAsia="Arial" w:cs="Arial"/>
                <w:color w:val="000000" w:themeColor="text1"/>
              </w:rPr>
              <w:t xml:space="preserve"> </w:t>
            </w:r>
            <w:r w:rsidR="00F1553C">
              <w:rPr>
                <w:rFonts w:eastAsia="Arial" w:cs="Arial"/>
                <w:color w:val="000000" w:themeColor="text1"/>
              </w:rPr>
              <w:t xml:space="preserve">Time </w:t>
            </w:r>
            <w:r w:rsidRPr="0F2E0A01">
              <w:rPr>
                <w:rFonts w:eastAsia="Arial" w:cs="Arial"/>
                <w:color w:val="000000" w:themeColor="text1"/>
              </w:rPr>
              <w:t xml:space="preserve">(days) </w:t>
            </w:r>
          </w:p>
        </w:tc>
        <w:tc>
          <w:tcPr>
            <w:tcW w:w="1080" w:type="dxa"/>
            <w:tcBorders>
              <w:top w:val="single" w:sz="12" w:space="0" w:color="008000"/>
              <w:left w:val="nil"/>
              <w:bottom w:val="single" w:sz="8" w:space="0" w:color="008000"/>
              <w:right w:val="nil"/>
            </w:tcBorders>
            <w:vAlign w:val="bottom"/>
          </w:tcPr>
          <w:p w14:paraId="30F418EC" w14:textId="5E49F23E" w:rsidR="0FA78656" w:rsidRDefault="0FA78656">
            <w:pPr>
              <w:rPr>
                <w:rFonts w:eastAsia="Arial" w:cs="Arial"/>
                <w:color w:val="000000" w:themeColor="text1"/>
              </w:rPr>
            </w:pPr>
            <w:r w:rsidRPr="0F2E0A01">
              <w:rPr>
                <w:rFonts w:eastAsia="Arial" w:cs="Arial"/>
                <w:color w:val="000000" w:themeColor="text1"/>
                <w:vertAlign w:val="superscript"/>
              </w:rPr>
              <w:t>1</w:t>
            </w:r>
            <w:r w:rsidRPr="0F2E0A01">
              <w:rPr>
                <w:rFonts w:eastAsia="Arial" w:cs="Arial"/>
                <w:color w:val="000000" w:themeColor="text1"/>
              </w:rPr>
              <w:t xml:space="preserve">Sample </w:t>
            </w:r>
          </w:p>
        </w:tc>
        <w:tc>
          <w:tcPr>
            <w:tcW w:w="6135" w:type="dxa"/>
            <w:gridSpan w:val="5"/>
            <w:tcBorders>
              <w:top w:val="single" w:sz="12" w:space="0" w:color="008000"/>
              <w:left w:val="nil"/>
              <w:bottom w:val="single" w:sz="8" w:space="0" w:color="008000"/>
              <w:right w:val="nil"/>
            </w:tcBorders>
            <w:vAlign w:val="bottom"/>
          </w:tcPr>
          <w:p w14:paraId="2C8F201E" w14:textId="738D2E67" w:rsidR="0FA78656" w:rsidRDefault="0FA78656" w:rsidP="003B12F4">
            <w:pPr>
              <w:jc w:val="center"/>
              <w:rPr>
                <w:rFonts w:eastAsia="Arial" w:cs="Arial"/>
                <w:color w:val="000000" w:themeColor="text1"/>
                <w:lang w:val="en-US"/>
              </w:rPr>
            </w:pPr>
            <w:r w:rsidRPr="0F2E0A01">
              <w:rPr>
                <w:rFonts w:eastAsia="Arial" w:cs="Arial"/>
                <w:color w:val="000000" w:themeColor="text1"/>
                <w:lang w:val="en-US"/>
              </w:rPr>
              <w:t>Log CFU/cm</w:t>
            </w:r>
            <w:r w:rsidRPr="0F2E0A01">
              <w:rPr>
                <w:rFonts w:eastAsia="Arial" w:cs="Arial"/>
                <w:color w:val="000000" w:themeColor="text1"/>
                <w:vertAlign w:val="superscript"/>
                <w:lang w:val="en-US"/>
              </w:rPr>
              <w:t>2</w:t>
            </w:r>
            <w:r w:rsidRPr="0F2E0A01">
              <w:rPr>
                <w:rFonts w:eastAsia="Arial" w:cs="Arial"/>
                <w:color w:val="000000" w:themeColor="text1"/>
                <w:lang w:val="en-US"/>
              </w:rPr>
              <w:t xml:space="preserve"> on </w:t>
            </w:r>
            <w:r w:rsidRPr="0F2E0A01">
              <w:rPr>
                <w:rFonts w:eastAsia="Arial" w:cs="Arial"/>
                <w:color w:val="000000" w:themeColor="text1"/>
                <w:vertAlign w:val="superscript"/>
                <w:lang w:val="en-US"/>
              </w:rPr>
              <w:t>2</w:t>
            </w:r>
            <w:r w:rsidRPr="0F2E0A01">
              <w:rPr>
                <w:rFonts w:eastAsia="Arial" w:cs="Arial"/>
                <w:color w:val="000000" w:themeColor="text1"/>
                <w:lang w:val="en-US"/>
              </w:rPr>
              <w:t xml:space="preserve">microbial group  </w:t>
            </w:r>
          </w:p>
        </w:tc>
      </w:tr>
      <w:tr w:rsidR="0FA78656" w14:paraId="061B48DB" w14:textId="77777777" w:rsidTr="003B12F4">
        <w:trPr>
          <w:trHeight w:val="270"/>
        </w:trPr>
        <w:tc>
          <w:tcPr>
            <w:tcW w:w="930" w:type="dxa"/>
            <w:tcBorders>
              <w:top w:val="single" w:sz="8" w:space="0" w:color="008000"/>
              <w:left w:val="nil"/>
              <w:bottom w:val="nil"/>
              <w:right w:val="nil"/>
            </w:tcBorders>
            <w:vAlign w:val="bottom"/>
          </w:tcPr>
          <w:p w14:paraId="4E76EF78" w14:textId="77CD6256" w:rsidR="0FA78656" w:rsidRDefault="0FA78656">
            <w:pPr>
              <w:rPr>
                <w:rFonts w:eastAsia="Arial" w:cs="Arial"/>
                <w:color w:val="000000" w:themeColor="text1"/>
              </w:rPr>
            </w:pPr>
            <w:r w:rsidRPr="0F2E0A01">
              <w:rPr>
                <w:rFonts w:eastAsia="Arial" w:cs="Arial"/>
                <w:color w:val="000000" w:themeColor="text1"/>
              </w:rPr>
              <w:t xml:space="preserve">0 </w:t>
            </w:r>
          </w:p>
        </w:tc>
        <w:tc>
          <w:tcPr>
            <w:tcW w:w="1080" w:type="dxa"/>
            <w:tcBorders>
              <w:top w:val="single" w:sz="8" w:space="0" w:color="008000"/>
              <w:left w:val="nil"/>
              <w:bottom w:val="nil"/>
              <w:right w:val="nil"/>
            </w:tcBorders>
            <w:vAlign w:val="bottom"/>
          </w:tcPr>
          <w:p w14:paraId="78640CE1" w14:textId="78125087" w:rsidR="0FA78656" w:rsidRDefault="0FA78656">
            <w:pPr>
              <w:rPr>
                <w:rFonts w:eastAsia="Arial" w:cs="Arial"/>
                <w:color w:val="000000" w:themeColor="text1"/>
              </w:rPr>
            </w:pPr>
            <w:r w:rsidRPr="0F2E0A01">
              <w:rPr>
                <w:rFonts w:eastAsia="Arial" w:cs="Arial"/>
                <w:color w:val="000000" w:themeColor="text1"/>
              </w:rPr>
              <w:t xml:space="preserve">  </w:t>
            </w:r>
          </w:p>
        </w:tc>
        <w:tc>
          <w:tcPr>
            <w:tcW w:w="1227" w:type="dxa"/>
            <w:tcBorders>
              <w:top w:val="single" w:sz="8" w:space="0" w:color="008000"/>
              <w:left w:val="nil"/>
              <w:bottom w:val="nil"/>
              <w:right w:val="nil"/>
            </w:tcBorders>
            <w:vAlign w:val="bottom"/>
          </w:tcPr>
          <w:p w14:paraId="27DA3829" w14:textId="2D8D974B" w:rsidR="0FA78656" w:rsidRDefault="0FA78656">
            <w:pPr>
              <w:rPr>
                <w:rFonts w:eastAsia="Arial" w:cs="Arial"/>
                <w:color w:val="000000" w:themeColor="text1"/>
              </w:rPr>
            </w:pPr>
            <w:r w:rsidRPr="0F2E0A01">
              <w:rPr>
                <w:rFonts w:eastAsia="Arial" w:cs="Arial"/>
                <w:color w:val="000000" w:themeColor="text1"/>
              </w:rPr>
              <w:t xml:space="preserve">Y&amp;M </w:t>
            </w:r>
          </w:p>
        </w:tc>
        <w:tc>
          <w:tcPr>
            <w:tcW w:w="1227" w:type="dxa"/>
            <w:tcBorders>
              <w:top w:val="nil"/>
              <w:left w:val="nil"/>
              <w:bottom w:val="nil"/>
              <w:right w:val="nil"/>
            </w:tcBorders>
            <w:vAlign w:val="bottom"/>
          </w:tcPr>
          <w:p w14:paraId="33D12D3B" w14:textId="6D905359" w:rsidR="0FA78656" w:rsidRDefault="0FA78656">
            <w:pPr>
              <w:rPr>
                <w:rFonts w:eastAsia="Arial" w:cs="Arial"/>
                <w:color w:val="000000" w:themeColor="text1"/>
              </w:rPr>
            </w:pPr>
            <w:r w:rsidRPr="0F2E0A01">
              <w:rPr>
                <w:rFonts w:eastAsia="Arial" w:cs="Arial"/>
                <w:color w:val="000000" w:themeColor="text1"/>
              </w:rPr>
              <w:t xml:space="preserve">TBC </w:t>
            </w:r>
          </w:p>
        </w:tc>
        <w:tc>
          <w:tcPr>
            <w:tcW w:w="1227" w:type="dxa"/>
            <w:tcBorders>
              <w:top w:val="nil"/>
              <w:left w:val="nil"/>
              <w:bottom w:val="nil"/>
              <w:right w:val="nil"/>
            </w:tcBorders>
            <w:vAlign w:val="bottom"/>
          </w:tcPr>
          <w:p w14:paraId="0B3E931D" w14:textId="0E42CC22" w:rsidR="0FA78656" w:rsidRDefault="0FA78656">
            <w:pPr>
              <w:rPr>
                <w:rFonts w:eastAsia="Arial" w:cs="Arial"/>
                <w:color w:val="000000" w:themeColor="text1"/>
              </w:rPr>
            </w:pPr>
            <w:r w:rsidRPr="0F2E0A01">
              <w:rPr>
                <w:rFonts w:eastAsia="Arial" w:cs="Arial"/>
                <w:color w:val="000000" w:themeColor="text1"/>
              </w:rPr>
              <w:t xml:space="preserve">PB </w:t>
            </w:r>
          </w:p>
        </w:tc>
        <w:tc>
          <w:tcPr>
            <w:tcW w:w="1227" w:type="dxa"/>
            <w:tcBorders>
              <w:top w:val="nil"/>
              <w:left w:val="nil"/>
              <w:bottom w:val="nil"/>
              <w:right w:val="nil"/>
            </w:tcBorders>
            <w:vAlign w:val="bottom"/>
          </w:tcPr>
          <w:p w14:paraId="3434C685" w14:textId="7859B430" w:rsidR="0FA78656" w:rsidRDefault="0FA78656">
            <w:pPr>
              <w:rPr>
                <w:rFonts w:eastAsia="Arial" w:cs="Arial"/>
                <w:color w:val="000000" w:themeColor="text1"/>
              </w:rPr>
            </w:pPr>
            <w:r w:rsidRPr="0F2E0A01">
              <w:rPr>
                <w:rFonts w:eastAsia="Arial" w:cs="Arial"/>
                <w:color w:val="000000" w:themeColor="text1"/>
              </w:rPr>
              <w:t xml:space="preserve">ENT </w:t>
            </w:r>
          </w:p>
        </w:tc>
        <w:tc>
          <w:tcPr>
            <w:tcW w:w="1227" w:type="dxa"/>
            <w:tcBorders>
              <w:top w:val="nil"/>
              <w:left w:val="nil"/>
              <w:bottom w:val="nil"/>
              <w:right w:val="nil"/>
            </w:tcBorders>
            <w:vAlign w:val="bottom"/>
          </w:tcPr>
          <w:p w14:paraId="189D4CED" w14:textId="06774C1F" w:rsidR="0FA78656" w:rsidRDefault="0FA78656">
            <w:pPr>
              <w:rPr>
                <w:rFonts w:eastAsia="Arial" w:cs="Arial"/>
                <w:color w:val="000000" w:themeColor="text1"/>
              </w:rPr>
            </w:pPr>
            <w:r w:rsidRPr="0F2E0A01">
              <w:rPr>
                <w:rFonts w:eastAsia="Arial" w:cs="Arial"/>
                <w:color w:val="000000" w:themeColor="text1"/>
              </w:rPr>
              <w:t xml:space="preserve">PSA </w:t>
            </w:r>
          </w:p>
        </w:tc>
      </w:tr>
      <w:tr w:rsidR="0FA78656" w14:paraId="48C9E34F" w14:textId="77777777" w:rsidTr="003B12F4">
        <w:trPr>
          <w:trHeight w:val="270"/>
        </w:trPr>
        <w:tc>
          <w:tcPr>
            <w:tcW w:w="930" w:type="dxa"/>
            <w:tcBorders>
              <w:top w:val="nil"/>
              <w:left w:val="nil"/>
              <w:bottom w:val="nil"/>
              <w:right w:val="nil"/>
            </w:tcBorders>
            <w:vAlign w:val="bottom"/>
          </w:tcPr>
          <w:p w14:paraId="4E64B3B4" w14:textId="4B001464" w:rsidR="0FA78656" w:rsidRDefault="0FA78656" w:rsidP="003B12F4">
            <w:pPr>
              <w:jc w:val="center"/>
              <w:rPr>
                <w:rFonts w:eastAsia="Arial" w:cs="Arial"/>
                <w:color w:val="000000" w:themeColor="text1"/>
              </w:rPr>
            </w:pPr>
            <w:r w:rsidRPr="0F2E0A01">
              <w:rPr>
                <w:rFonts w:eastAsia="Arial" w:cs="Arial"/>
                <w:color w:val="000000" w:themeColor="text1"/>
              </w:rPr>
              <w:t xml:space="preserve">  </w:t>
            </w:r>
          </w:p>
        </w:tc>
        <w:tc>
          <w:tcPr>
            <w:tcW w:w="1080" w:type="dxa"/>
            <w:tcBorders>
              <w:top w:val="nil"/>
              <w:left w:val="nil"/>
              <w:bottom w:val="nil"/>
              <w:right w:val="nil"/>
            </w:tcBorders>
          </w:tcPr>
          <w:p w14:paraId="781565A9" w14:textId="771A592C" w:rsidR="0FA78656" w:rsidRDefault="0FA78656">
            <w:pPr>
              <w:rPr>
                <w:rFonts w:eastAsia="Arial" w:cs="Arial"/>
              </w:rPr>
            </w:pPr>
            <w:r w:rsidRPr="0F2E0A01">
              <w:rPr>
                <w:rFonts w:eastAsia="Arial" w:cs="Arial"/>
              </w:rPr>
              <w:t xml:space="preserve">Control </w:t>
            </w:r>
          </w:p>
        </w:tc>
        <w:tc>
          <w:tcPr>
            <w:tcW w:w="1227" w:type="dxa"/>
            <w:tcBorders>
              <w:top w:val="nil"/>
              <w:left w:val="nil"/>
              <w:bottom w:val="nil"/>
              <w:right w:val="nil"/>
            </w:tcBorders>
          </w:tcPr>
          <w:p w14:paraId="5A3E023C" w14:textId="7720F5C9" w:rsidR="0FA78656" w:rsidRDefault="0FA78656">
            <w:pPr>
              <w:rPr>
                <w:rFonts w:eastAsia="Arial" w:cs="Arial"/>
              </w:rPr>
            </w:pPr>
            <w:r w:rsidRPr="0F2E0A01">
              <w:rPr>
                <w:rFonts w:eastAsia="Arial" w:cs="Arial"/>
              </w:rPr>
              <w:t>1.79±0.04</w:t>
            </w:r>
            <w:r w:rsidRPr="0F2E0A01">
              <w:rPr>
                <w:rFonts w:eastAsia="Arial" w:cs="Arial"/>
                <w:vertAlign w:val="superscript"/>
              </w:rPr>
              <w:t>a</w:t>
            </w:r>
            <w:r w:rsidRPr="0F2E0A01">
              <w:rPr>
                <w:rFonts w:eastAsia="Arial" w:cs="Arial"/>
              </w:rPr>
              <w:t xml:space="preserve"> </w:t>
            </w:r>
          </w:p>
        </w:tc>
        <w:tc>
          <w:tcPr>
            <w:tcW w:w="1227" w:type="dxa"/>
            <w:tcBorders>
              <w:top w:val="nil"/>
              <w:left w:val="nil"/>
              <w:bottom w:val="nil"/>
              <w:right w:val="nil"/>
            </w:tcBorders>
          </w:tcPr>
          <w:p w14:paraId="52E75930" w14:textId="067C5B88" w:rsidR="0FA78656" w:rsidRDefault="0FA78656">
            <w:pPr>
              <w:rPr>
                <w:rFonts w:eastAsia="Arial" w:cs="Arial"/>
              </w:rPr>
            </w:pPr>
            <w:r w:rsidRPr="0F2E0A01">
              <w:rPr>
                <w:rFonts w:eastAsia="Arial" w:cs="Arial"/>
              </w:rPr>
              <w:t>2.96±0.00</w:t>
            </w:r>
            <w:r w:rsidRPr="0F2E0A01">
              <w:rPr>
                <w:rFonts w:eastAsia="Arial" w:cs="Arial"/>
                <w:vertAlign w:val="superscript"/>
              </w:rPr>
              <w:t>a</w:t>
            </w:r>
            <w:r w:rsidRPr="0F2E0A01">
              <w:rPr>
                <w:rFonts w:eastAsia="Arial" w:cs="Arial"/>
              </w:rPr>
              <w:t xml:space="preserve"> </w:t>
            </w:r>
          </w:p>
        </w:tc>
        <w:tc>
          <w:tcPr>
            <w:tcW w:w="1227" w:type="dxa"/>
            <w:tcBorders>
              <w:top w:val="nil"/>
              <w:left w:val="nil"/>
              <w:bottom w:val="nil"/>
              <w:right w:val="nil"/>
            </w:tcBorders>
          </w:tcPr>
          <w:p w14:paraId="5FB1ADD1" w14:textId="015A6E06" w:rsidR="0FA78656" w:rsidRDefault="0FA78656">
            <w:pPr>
              <w:rPr>
                <w:rFonts w:eastAsia="Arial" w:cs="Arial"/>
              </w:rPr>
            </w:pPr>
            <w:r w:rsidRPr="0F2E0A01">
              <w:rPr>
                <w:rFonts w:eastAsia="Arial" w:cs="Arial"/>
              </w:rPr>
              <w:t>3.06±0.00</w:t>
            </w:r>
            <w:r w:rsidRPr="0F2E0A01">
              <w:rPr>
                <w:rFonts w:eastAsia="Arial" w:cs="Arial"/>
                <w:vertAlign w:val="superscript"/>
              </w:rPr>
              <w:t>a</w:t>
            </w:r>
            <w:r w:rsidRPr="0F2E0A01">
              <w:rPr>
                <w:rFonts w:eastAsia="Arial" w:cs="Arial"/>
              </w:rPr>
              <w:t xml:space="preserve"> </w:t>
            </w:r>
          </w:p>
        </w:tc>
        <w:tc>
          <w:tcPr>
            <w:tcW w:w="1227" w:type="dxa"/>
            <w:tcBorders>
              <w:top w:val="nil"/>
              <w:left w:val="nil"/>
              <w:bottom w:val="nil"/>
              <w:right w:val="nil"/>
            </w:tcBorders>
          </w:tcPr>
          <w:p w14:paraId="1A7A8E13" w14:textId="77F69005" w:rsidR="0FA78656" w:rsidRDefault="0FA78656">
            <w:pPr>
              <w:rPr>
                <w:rFonts w:eastAsia="Arial" w:cs="Arial"/>
              </w:rPr>
            </w:pPr>
            <w:r w:rsidRPr="0F2E0A01">
              <w:rPr>
                <w:rFonts w:eastAsia="Arial" w:cs="Arial"/>
              </w:rPr>
              <w:t>0±0.00</w:t>
            </w:r>
            <w:r w:rsidRPr="0F2E0A01">
              <w:rPr>
                <w:rFonts w:eastAsia="Arial" w:cs="Arial"/>
                <w:vertAlign w:val="superscript"/>
              </w:rPr>
              <w:t>a</w:t>
            </w:r>
            <w:r w:rsidRPr="0F2E0A01">
              <w:rPr>
                <w:rFonts w:eastAsia="Arial" w:cs="Arial"/>
              </w:rPr>
              <w:t xml:space="preserve"> </w:t>
            </w:r>
          </w:p>
        </w:tc>
        <w:tc>
          <w:tcPr>
            <w:tcW w:w="1227" w:type="dxa"/>
            <w:tcBorders>
              <w:top w:val="nil"/>
              <w:left w:val="nil"/>
              <w:bottom w:val="nil"/>
              <w:right w:val="nil"/>
            </w:tcBorders>
          </w:tcPr>
          <w:p w14:paraId="0ECF716C" w14:textId="4EB00454" w:rsidR="0FA78656" w:rsidRDefault="0FA78656">
            <w:pPr>
              <w:rPr>
                <w:rFonts w:eastAsia="Arial" w:cs="Arial"/>
              </w:rPr>
            </w:pPr>
            <w:r w:rsidRPr="0F2E0A01">
              <w:rPr>
                <w:rFonts w:eastAsia="Arial" w:cs="Arial"/>
              </w:rPr>
              <w:t>0±0.00</w:t>
            </w:r>
            <w:r w:rsidRPr="0F2E0A01">
              <w:rPr>
                <w:rFonts w:eastAsia="Arial" w:cs="Arial"/>
                <w:vertAlign w:val="superscript"/>
              </w:rPr>
              <w:t>a</w:t>
            </w:r>
            <w:r w:rsidRPr="0F2E0A01">
              <w:rPr>
                <w:rFonts w:eastAsia="Arial" w:cs="Arial"/>
              </w:rPr>
              <w:t xml:space="preserve"> </w:t>
            </w:r>
          </w:p>
        </w:tc>
      </w:tr>
      <w:tr w:rsidR="0FA78656" w14:paraId="4292D618" w14:textId="77777777" w:rsidTr="003B12F4">
        <w:trPr>
          <w:trHeight w:val="270"/>
        </w:trPr>
        <w:tc>
          <w:tcPr>
            <w:tcW w:w="930" w:type="dxa"/>
            <w:tcBorders>
              <w:top w:val="nil"/>
              <w:left w:val="nil"/>
              <w:bottom w:val="nil"/>
              <w:right w:val="nil"/>
            </w:tcBorders>
            <w:vAlign w:val="bottom"/>
          </w:tcPr>
          <w:p w14:paraId="5668E4F8" w14:textId="705CE994" w:rsidR="0FA78656" w:rsidRDefault="0FA78656">
            <w:pPr>
              <w:rPr>
                <w:rFonts w:eastAsia="Arial" w:cs="Arial"/>
                <w:color w:val="000000" w:themeColor="text1"/>
              </w:rPr>
            </w:pPr>
            <w:r w:rsidRPr="0F2E0A01">
              <w:rPr>
                <w:rFonts w:eastAsia="Arial" w:cs="Arial"/>
                <w:color w:val="000000" w:themeColor="text1"/>
              </w:rPr>
              <w:t xml:space="preserve">  </w:t>
            </w:r>
          </w:p>
        </w:tc>
        <w:tc>
          <w:tcPr>
            <w:tcW w:w="1080" w:type="dxa"/>
            <w:tcBorders>
              <w:top w:val="nil"/>
              <w:left w:val="nil"/>
              <w:bottom w:val="nil"/>
              <w:right w:val="nil"/>
            </w:tcBorders>
          </w:tcPr>
          <w:p w14:paraId="5DABCCA1" w14:textId="62E0B595" w:rsidR="0FA78656" w:rsidRDefault="0FA78656">
            <w:pPr>
              <w:rPr>
                <w:rFonts w:eastAsia="Arial" w:cs="Arial"/>
              </w:rPr>
            </w:pPr>
            <w:r w:rsidRPr="0F2E0A01">
              <w:rPr>
                <w:rFonts w:eastAsia="Arial" w:cs="Arial"/>
              </w:rPr>
              <w:t>Treated</w:t>
            </w:r>
          </w:p>
        </w:tc>
        <w:tc>
          <w:tcPr>
            <w:tcW w:w="1227" w:type="dxa"/>
            <w:tcBorders>
              <w:top w:val="nil"/>
              <w:left w:val="nil"/>
              <w:bottom w:val="nil"/>
              <w:right w:val="nil"/>
            </w:tcBorders>
          </w:tcPr>
          <w:p w14:paraId="0663F21F" w14:textId="3E0AF2CE" w:rsidR="0FA78656" w:rsidRDefault="0FA78656">
            <w:pPr>
              <w:rPr>
                <w:rFonts w:eastAsia="Arial" w:cs="Arial"/>
              </w:rPr>
            </w:pPr>
            <w:r w:rsidRPr="0F2E0A01">
              <w:rPr>
                <w:rFonts w:eastAsia="Arial" w:cs="Arial"/>
              </w:rPr>
              <w:t>2.63±0.00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nil"/>
              <w:right w:val="nil"/>
            </w:tcBorders>
          </w:tcPr>
          <w:p w14:paraId="13C02AF6" w14:textId="374033C1" w:rsidR="0FA78656" w:rsidRDefault="0FA78656">
            <w:pPr>
              <w:rPr>
                <w:rFonts w:eastAsia="Arial" w:cs="Arial"/>
              </w:rPr>
            </w:pPr>
            <w:r w:rsidRPr="0F2E0A01">
              <w:rPr>
                <w:rFonts w:eastAsia="Arial" w:cs="Arial"/>
              </w:rPr>
              <w:t>2.93±0.00</w:t>
            </w:r>
            <w:r w:rsidRPr="0F2E0A01">
              <w:rPr>
                <w:rFonts w:eastAsia="Arial" w:cs="Arial"/>
                <w:vertAlign w:val="superscript"/>
              </w:rPr>
              <w:t>a</w:t>
            </w:r>
            <w:r w:rsidRPr="0F2E0A01">
              <w:rPr>
                <w:rFonts w:eastAsia="Arial" w:cs="Arial"/>
              </w:rPr>
              <w:t xml:space="preserve"> </w:t>
            </w:r>
          </w:p>
        </w:tc>
        <w:tc>
          <w:tcPr>
            <w:tcW w:w="1227" w:type="dxa"/>
            <w:tcBorders>
              <w:top w:val="nil"/>
              <w:left w:val="nil"/>
              <w:bottom w:val="nil"/>
              <w:right w:val="nil"/>
            </w:tcBorders>
          </w:tcPr>
          <w:p w14:paraId="7358C9D9" w14:textId="6CC52634" w:rsidR="0FA78656" w:rsidRDefault="0FA78656">
            <w:pPr>
              <w:rPr>
                <w:rFonts w:eastAsia="Arial" w:cs="Arial"/>
              </w:rPr>
            </w:pPr>
            <w:r w:rsidRPr="0F2E0A01">
              <w:rPr>
                <w:rFonts w:eastAsia="Arial" w:cs="Arial"/>
              </w:rPr>
              <w:t>2.96±0.00</w:t>
            </w:r>
            <w:r w:rsidRPr="0F2E0A01">
              <w:rPr>
                <w:rFonts w:eastAsia="Arial" w:cs="Arial"/>
                <w:vertAlign w:val="superscript"/>
              </w:rPr>
              <w:t>a</w:t>
            </w:r>
            <w:r w:rsidRPr="0F2E0A01">
              <w:rPr>
                <w:rFonts w:eastAsia="Arial" w:cs="Arial"/>
              </w:rPr>
              <w:t xml:space="preserve"> </w:t>
            </w:r>
          </w:p>
        </w:tc>
        <w:tc>
          <w:tcPr>
            <w:tcW w:w="1227" w:type="dxa"/>
            <w:tcBorders>
              <w:top w:val="nil"/>
              <w:left w:val="nil"/>
              <w:bottom w:val="nil"/>
              <w:right w:val="nil"/>
            </w:tcBorders>
          </w:tcPr>
          <w:p w14:paraId="205CD2C4" w14:textId="258B90DA" w:rsidR="0FA78656" w:rsidRDefault="0FA78656">
            <w:pPr>
              <w:rPr>
                <w:rFonts w:eastAsia="Arial" w:cs="Arial"/>
              </w:rPr>
            </w:pPr>
            <w:r w:rsidRPr="0F2E0A01">
              <w:rPr>
                <w:rFonts w:eastAsia="Arial" w:cs="Arial"/>
              </w:rPr>
              <w:t>1.53±0.05</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nil"/>
              <w:right w:val="nil"/>
            </w:tcBorders>
          </w:tcPr>
          <w:p w14:paraId="4332D25A" w14:textId="763FF769" w:rsidR="0FA78656" w:rsidRDefault="0FA78656">
            <w:pPr>
              <w:rPr>
                <w:rFonts w:eastAsia="Arial" w:cs="Arial"/>
              </w:rPr>
            </w:pPr>
            <w:r w:rsidRPr="0F2E0A01">
              <w:rPr>
                <w:rFonts w:eastAsia="Arial" w:cs="Arial"/>
              </w:rPr>
              <w:t>1.48±0.06</w:t>
            </w:r>
            <w:r w:rsidRPr="0F2E0A01">
              <w:rPr>
                <w:rFonts w:eastAsia="Arial" w:cs="Arial"/>
                <w:vertAlign w:val="superscript"/>
              </w:rPr>
              <w:t>b</w:t>
            </w:r>
            <w:r w:rsidRPr="0F2E0A01">
              <w:rPr>
                <w:rFonts w:eastAsia="Arial" w:cs="Arial"/>
              </w:rPr>
              <w:t xml:space="preserve"> </w:t>
            </w:r>
          </w:p>
        </w:tc>
      </w:tr>
      <w:tr w:rsidR="0FA78656" w14:paraId="2DDFF94F" w14:textId="77777777" w:rsidTr="003B12F4">
        <w:trPr>
          <w:trHeight w:val="270"/>
        </w:trPr>
        <w:tc>
          <w:tcPr>
            <w:tcW w:w="930" w:type="dxa"/>
            <w:tcBorders>
              <w:top w:val="single" w:sz="8" w:space="0" w:color="008000"/>
              <w:left w:val="nil"/>
              <w:bottom w:val="nil"/>
              <w:right w:val="nil"/>
            </w:tcBorders>
            <w:vAlign w:val="bottom"/>
          </w:tcPr>
          <w:p w14:paraId="18391911" w14:textId="7DADBF50" w:rsidR="0FA78656" w:rsidRDefault="0FA78656">
            <w:pPr>
              <w:rPr>
                <w:rFonts w:eastAsia="Arial" w:cs="Arial"/>
                <w:color w:val="000000" w:themeColor="text1"/>
              </w:rPr>
            </w:pPr>
            <w:r w:rsidRPr="0F2E0A01">
              <w:rPr>
                <w:rFonts w:eastAsia="Arial" w:cs="Arial"/>
                <w:color w:val="000000" w:themeColor="text1"/>
              </w:rPr>
              <w:t xml:space="preserve">3  </w:t>
            </w:r>
          </w:p>
        </w:tc>
        <w:tc>
          <w:tcPr>
            <w:tcW w:w="1080" w:type="dxa"/>
            <w:tcBorders>
              <w:top w:val="single" w:sz="8" w:space="0" w:color="008000"/>
              <w:left w:val="nil"/>
              <w:bottom w:val="nil"/>
              <w:right w:val="nil"/>
            </w:tcBorders>
          </w:tcPr>
          <w:p w14:paraId="21A18DB0" w14:textId="31006E46" w:rsidR="0FA78656" w:rsidRDefault="0FA78656">
            <w:pPr>
              <w:rPr>
                <w:rFonts w:eastAsia="Arial" w:cs="Arial"/>
              </w:rPr>
            </w:pPr>
            <w:r w:rsidRPr="0F2E0A01">
              <w:rPr>
                <w:rFonts w:eastAsia="Arial" w:cs="Arial"/>
              </w:rPr>
              <w:t xml:space="preserve">Control </w:t>
            </w:r>
          </w:p>
        </w:tc>
        <w:tc>
          <w:tcPr>
            <w:tcW w:w="1227" w:type="dxa"/>
            <w:tcBorders>
              <w:top w:val="single" w:sz="8" w:space="0" w:color="008000"/>
              <w:left w:val="nil"/>
              <w:bottom w:val="nil"/>
              <w:right w:val="nil"/>
            </w:tcBorders>
          </w:tcPr>
          <w:p w14:paraId="5FCB6F99" w14:textId="2E6A094B" w:rsidR="0FA78656" w:rsidRDefault="0FA78656">
            <w:pPr>
              <w:rPr>
                <w:rFonts w:eastAsia="Arial" w:cs="Arial"/>
              </w:rPr>
            </w:pPr>
            <w:r w:rsidRPr="0F2E0A01">
              <w:rPr>
                <w:rFonts w:eastAsia="Arial" w:cs="Arial"/>
              </w:rPr>
              <w:t>2.18±0.01</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bottom w:val="nil"/>
              <w:right w:val="nil"/>
            </w:tcBorders>
          </w:tcPr>
          <w:p w14:paraId="4FBD3C18" w14:textId="5DB2D978" w:rsidR="0FA78656" w:rsidRDefault="0FA78656">
            <w:pPr>
              <w:rPr>
                <w:rFonts w:eastAsia="Arial" w:cs="Arial"/>
              </w:rPr>
            </w:pPr>
            <w:r w:rsidRPr="0F2E0A01">
              <w:rPr>
                <w:rFonts w:eastAsia="Arial" w:cs="Arial"/>
              </w:rPr>
              <w:t xml:space="preserve">2.03±0.01 </w:t>
            </w:r>
          </w:p>
        </w:tc>
        <w:tc>
          <w:tcPr>
            <w:tcW w:w="1227" w:type="dxa"/>
            <w:tcBorders>
              <w:top w:val="single" w:sz="8" w:space="0" w:color="008000"/>
              <w:left w:val="nil"/>
              <w:bottom w:val="nil"/>
              <w:right w:val="nil"/>
            </w:tcBorders>
          </w:tcPr>
          <w:p w14:paraId="7034C12A" w14:textId="1DA84A3D" w:rsidR="0FA78656" w:rsidRDefault="0FA78656">
            <w:pPr>
              <w:rPr>
                <w:rFonts w:eastAsia="Arial" w:cs="Arial"/>
              </w:rPr>
            </w:pPr>
            <w:r w:rsidRPr="0F2E0A01">
              <w:rPr>
                <w:rFonts w:eastAsia="Arial" w:cs="Arial"/>
              </w:rPr>
              <w:t>2.99±0.00</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bottom w:val="nil"/>
              <w:right w:val="nil"/>
            </w:tcBorders>
          </w:tcPr>
          <w:p w14:paraId="03E5CC92" w14:textId="16748986" w:rsidR="0FA78656" w:rsidRDefault="0FA78656">
            <w:pPr>
              <w:rPr>
                <w:rFonts w:eastAsia="Arial" w:cs="Arial"/>
              </w:rPr>
            </w:pPr>
            <w:r w:rsidRPr="0F2E0A01">
              <w:rPr>
                <w:rFonts w:eastAsia="Arial" w:cs="Arial"/>
              </w:rPr>
              <w:t xml:space="preserve">0±0.00 </w:t>
            </w:r>
          </w:p>
        </w:tc>
        <w:tc>
          <w:tcPr>
            <w:tcW w:w="1227" w:type="dxa"/>
            <w:tcBorders>
              <w:top w:val="single" w:sz="8" w:space="0" w:color="008000"/>
              <w:left w:val="nil"/>
              <w:bottom w:val="nil"/>
              <w:right w:val="nil"/>
            </w:tcBorders>
          </w:tcPr>
          <w:p w14:paraId="6876177D" w14:textId="5BD9DD8A" w:rsidR="0FA78656" w:rsidRDefault="0FA78656">
            <w:pPr>
              <w:rPr>
                <w:rFonts w:eastAsia="Arial" w:cs="Arial"/>
              </w:rPr>
            </w:pPr>
            <w:r w:rsidRPr="0F2E0A01">
              <w:rPr>
                <w:rFonts w:eastAsia="Arial" w:cs="Arial"/>
              </w:rPr>
              <w:t xml:space="preserve">0±0.00 </w:t>
            </w:r>
          </w:p>
        </w:tc>
      </w:tr>
      <w:tr w:rsidR="0FA78656" w14:paraId="213C2A9D" w14:textId="77777777" w:rsidTr="003B12F4">
        <w:trPr>
          <w:trHeight w:val="270"/>
        </w:trPr>
        <w:tc>
          <w:tcPr>
            <w:tcW w:w="930" w:type="dxa"/>
            <w:tcBorders>
              <w:top w:val="nil"/>
              <w:left w:val="nil"/>
              <w:bottom w:val="single" w:sz="8" w:space="0" w:color="008000"/>
              <w:right w:val="nil"/>
            </w:tcBorders>
            <w:vAlign w:val="bottom"/>
          </w:tcPr>
          <w:p w14:paraId="08666FBF" w14:textId="0AAFDC40" w:rsidR="0FA78656" w:rsidRDefault="0FA78656">
            <w:pPr>
              <w:rPr>
                <w:rFonts w:eastAsia="Arial" w:cs="Arial"/>
                <w:color w:val="000000" w:themeColor="text1"/>
              </w:rPr>
            </w:pPr>
            <w:r w:rsidRPr="0F2E0A01">
              <w:rPr>
                <w:rFonts w:eastAsia="Arial" w:cs="Arial"/>
                <w:color w:val="000000" w:themeColor="text1"/>
              </w:rPr>
              <w:t xml:space="preserve">  </w:t>
            </w:r>
          </w:p>
        </w:tc>
        <w:tc>
          <w:tcPr>
            <w:tcW w:w="1080" w:type="dxa"/>
            <w:tcBorders>
              <w:top w:val="nil"/>
              <w:left w:val="nil"/>
              <w:bottom w:val="single" w:sz="8" w:space="0" w:color="008000"/>
              <w:right w:val="nil"/>
            </w:tcBorders>
          </w:tcPr>
          <w:p w14:paraId="03CAD410" w14:textId="7B4E9D14" w:rsidR="0FA78656" w:rsidRDefault="0FA78656">
            <w:pPr>
              <w:rPr>
                <w:rFonts w:eastAsia="Arial" w:cs="Arial"/>
              </w:rPr>
            </w:pPr>
            <w:r w:rsidRPr="0F2E0A01">
              <w:rPr>
                <w:rFonts w:eastAsia="Arial" w:cs="Arial"/>
              </w:rPr>
              <w:t>Treated</w:t>
            </w:r>
          </w:p>
        </w:tc>
        <w:tc>
          <w:tcPr>
            <w:tcW w:w="1227" w:type="dxa"/>
            <w:tcBorders>
              <w:top w:val="nil"/>
              <w:left w:val="nil"/>
              <w:bottom w:val="single" w:sz="8" w:space="0" w:color="008000"/>
              <w:right w:val="nil"/>
            </w:tcBorders>
          </w:tcPr>
          <w:p w14:paraId="7EF61A4C" w14:textId="6AAD9DFA" w:rsidR="0FA78656" w:rsidRDefault="0FA78656">
            <w:pPr>
              <w:rPr>
                <w:rFonts w:eastAsia="Arial" w:cs="Arial"/>
              </w:rPr>
            </w:pPr>
            <w:r w:rsidRPr="0F2E0A01">
              <w:rPr>
                <w:rFonts w:eastAsia="Arial" w:cs="Arial"/>
              </w:rPr>
              <w:t>1.35±0.11</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single" w:sz="8" w:space="0" w:color="008000"/>
              <w:right w:val="nil"/>
            </w:tcBorders>
          </w:tcPr>
          <w:p w14:paraId="2A9E934A" w14:textId="347E6707" w:rsidR="0FA78656" w:rsidRDefault="0FA78656">
            <w:pPr>
              <w:rPr>
                <w:rFonts w:eastAsia="Arial" w:cs="Arial"/>
              </w:rPr>
            </w:pPr>
            <w:r w:rsidRPr="0F2E0A01">
              <w:rPr>
                <w:rFonts w:eastAsia="Arial" w:cs="Arial"/>
              </w:rPr>
              <w:t xml:space="preserve">2.03±0.01 </w:t>
            </w:r>
          </w:p>
        </w:tc>
        <w:tc>
          <w:tcPr>
            <w:tcW w:w="1227" w:type="dxa"/>
            <w:tcBorders>
              <w:top w:val="nil"/>
              <w:left w:val="nil"/>
              <w:bottom w:val="single" w:sz="8" w:space="0" w:color="008000"/>
              <w:right w:val="nil"/>
            </w:tcBorders>
          </w:tcPr>
          <w:p w14:paraId="14348868" w14:textId="4FC0F048" w:rsidR="0FA78656" w:rsidRDefault="0FA78656">
            <w:pPr>
              <w:rPr>
                <w:rFonts w:eastAsia="Arial" w:cs="Arial"/>
              </w:rPr>
            </w:pPr>
            <w:r w:rsidRPr="0F2E0A01">
              <w:rPr>
                <w:rFonts w:eastAsia="Arial" w:cs="Arial"/>
              </w:rPr>
              <w:t>2.66±0.00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single" w:sz="8" w:space="0" w:color="008000"/>
              <w:right w:val="nil"/>
            </w:tcBorders>
          </w:tcPr>
          <w:p w14:paraId="1685295D" w14:textId="6E7CC379" w:rsidR="0FA78656" w:rsidRDefault="0FA78656">
            <w:pPr>
              <w:rPr>
                <w:rFonts w:eastAsia="Arial" w:cs="Arial"/>
              </w:rPr>
            </w:pPr>
            <w:r w:rsidRPr="0F2E0A01">
              <w:rPr>
                <w:rFonts w:eastAsia="Arial" w:cs="Arial"/>
              </w:rPr>
              <w:t xml:space="preserve">0±0.00 </w:t>
            </w:r>
          </w:p>
        </w:tc>
        <w:tc>
          <w:tcPr>
            <w:tcW w:w="1227" w:type="dxa"/>
            <w:tcBorders>
              <w:top w:val="nil"/>
              <w:left w:val="nil"/>
              <w:bottom w:val="single" w:sz="8" w:space="0" w:color="008000"/>
              <w:right w:val="nil"/>
            </w:tcBorders>
          </w:tcPr>
          <w:p w14:paraId="4D37FFEA" w14:textId="00F0AA0C" w:rsidR="0FA78656" w:rsidRDefault="0FA78656">
            <w:pPr>
              <w:rPr>
                <w:rFonts w:eastAsia="Arial" w:cs="Arial"/>
              </w:rPr>
            </w:pPr>
            <w:r w:rsidRPr="0F2E0A01">
              <w:rPr>
                <w:rFonts w:eastAsia="Arial" w:cs="Arial"/>
              </w:rPr>
              <w:t xml:space="preserve">0±0.00 </w:t>
            </w:r>
          </w:p>
        </w:tc>
      </w:tr>
      <w:tr w:rsidR="0FA78656" w14:paraId="1867C129" w14:textId="77777777" w:rsidTr="003B12F4">
        <w:trPr>
          <w:trHeight w:val="270"/>
        </w:trPr>
        <w:tc>
          <w:tcPr>
            <w:tcW w:w="930" w:type="dxa"/>
            <w:tcBorders>
              <w:top w:val="single" w:sz="8" w:space="0" w:color="008000"/>
              <w:left w:val="nil"/>
              <w:bottom w:val="nil"/>
              <w:right w:val="nil"/>
            </w:tcBorders>
            <w:vAlign w:val="bottom"/>
          </w:tcPr>
          <w:p w14:paraId="18F77B49" w14:textId="611A438A" w:rsidR="0FA78656" w:rsidRDefault="0FA78656">
            <w:pPr>
              <w:rPr>
                <w:rFonts w:eastAsia="Arial" w:cs="Arial"/>
                <w:color w:val="000000" w:themeColor="text1"/>
              </w:rPr>
            </w:pPr>
            <w:r w:rsidRPr="0F2E0A01">
              <w:rPr>
                <w:rFonts w:eastAsia="Arial" w:cs="Arial"/>
                <w:color w:val="000000" w:themeColor="text1"/>
              </w:rPr>
              <w:t xml:space="preserve">6 </w:t>
            </w:r>
          </w:p>
        </w:tc>
        <w:tc>
          <w:tcPr>
            <w:tcW w:w="1080" w:type="dxa"/>
            <w:tcBorders>
              <w:top w:val="single" w:sz="8" w:space="0" w:color="008000"/>
              <w:left w:val="nil"/>
              <w:bottom w:val="nil"/>
              <w:right w:val="nil"/>
            </w:tcBorders>
          </w:tcPr>
          <w:p w14:paraId="32895625" w14:textId="172707D7" w:rsidR="0FA78656" w:rsidRDefault="0FA78656">
            <w:pPr>
              <w:rPr>
                <w:rFonts w:eastAsia="Arial" w:cs="Arial"/>
              </w:rPr>
            </w:pPr>
            <w:r w:rsidRPr="0F2E0A01">
              <w:rPr>
                <w:rFonts w:eastAsia="Arial" w:cs="Arial"/>
              </w:rPr>
              <w:t xml:space="preserve">Control </w:t>
            </w:r>
          </w:p>
        </w:tc>
        <w:tc>
          <w:tcPr>
            <w:tcW w:w="1227" w:type="dxa"/>
            <w:tcBorders>
              <w:top w:val="single" w:sz="8" w:space="0" w:color="008000"/>
              <w:left w:val="nil"/>
              <w:bottom w:val="nil"/>
              <w:right w:val="nil"/>
            </w:tcBorders>
          </w:tcPr>
          <w:p w14:paraId="34223B76" w14:textId="78C45372" w:rsidR="0FA78656" w:rsidRDefault="0FA78656">
            <w:pPr>
              <w:rPr>
                <w:rFonts w:eastAsia="Arial" w:cs="Arial"/>
              </w:rPr>
            </w:pPr>
            <w:r w:rsidRPr="0F2E0A01">
              <w:rPr>
                <w:rFonts w:eastAsia="Arial" w:cs="Arial"/>
              </w:rPr>
              <w:t>1.18±0.07</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bottom w:val="nil"/>
              <w:right w:val="nil"/>
            </w:tcBorders>
          </w:tcPr>
          <w:p w14:paraId="0459B6DA" w14:textId="6C8324CA" w:rsidR="0FA78656" w:rsidRDefault="0FA78656">
            <w:pPr>
              <w:rPr>
                <w:rFonts w:eastAsia="Arial" w:cs="Arial"/>
              </w:rPr>
            </w:pPr>
            <w:r w:rsidRPr="0F2E0A01">
              <w:rPr>
                <w:rFonts w:eastAsia="Arial" w:cs="Arial"/>
              </w:rPr>
              <w:t>3.39±0.00</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bottom w:val="nil"/>
              <w:right w:val="nil"/>
            </w:tcBorders>
          </w:tcPr>
          <w:p w14:paraId="3E80D546" w14:textId="02F843E6" w:rsidR="0FA78656" w:rsidRDefault="0FA78656">
            <w:pPr>
              <w:rPr>
                <w:rFonts w:eastAsia="Arial" w:cs="Arial"/>
              </w:rPr>
            </w:pPr>
            <w:r w:rsidRPr="0F2E0A01">
              <w:rPr>
                <w:rFonts w:eastAsia="Arial" w:cs="Arial"/>
              </w:rPr>
              <w:t>3.14±0.00</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bottom w:val="nil"/>
              <w:right w:val="nil"/>
            </w:tcBorders>
          </w:tcPr>
          <w:p w14:paraId="3082FFB0" w14:textId="08F54E45" w:rsidR="0FA78656" w:rsidRDefault="0FA78656">
            <w:pPr>
              <w:rPr>
                <w:rFonts w:eastAsia="Arial" w:cs="Arial"/>
              </w:rPr>
            </w:pPr>
            <w:r w:rsidRPr="0F2E0A01">
              <w:rPr>
                <w:rFonts w:eastAsia="Arial" w:cs="Arial"/>
              </w:rPr>
              <w:t xml:space="preserve">0±0.00 </w:t>
            </w:r>
          </w:p>
        </w:tc>
        <w:tc>
          <w:tcPr>
            <w:tcW w:w="1227" w:type="dxa"/>
            <w:tcBorders>
              <w:top w:val="single" w:sz="8" w:space="0" w:color="008000"/>
              <w:left w:val="nil"/>
              <w:bottom w:val="nil"/>
              <w:right w:val="nil"/>
            </w:tcBorders>
          </w:tcPr>
          <w:p w14:paraId="0637D926" w14:textId="7EE1C03D" w:rsidR="0FA78656" w:rsidRDefault="0FA78656">
            <w:pPr>
              <w:rPr>
                <w:rFonts w:eastAsia="Arial" w:cs="Arial"/>
              </w:rPr>
            </w:pPr>
            <w:r w:rsidRPr="0F2E0A01">
              <w:rPr>
                <w:rFonts w:eastAsia="Arial" w:cs="Arial"/>
              </w:rPr>
              <w:t xml:space="preserve">0±0.00 </w:t>
            </w:r>
          </w:p>
        </w:tc>
      </w:tr>
      <w:tr w:rsidR="0FA78656" w14:paraId="17224E5D" w14:textId="77777777" w:rsidTr="003B12F4">
        <w:trPr>
          <w:trHeight w:val="270"/>
        </w:trPr>
        <w:tc>
          <w:tcPr>
            <w:tcW w:w="930" w:type="dxa"/>
            <w:tcBorders>
              <w:top w:val="nil"/>
              <w:left w:val="nil"/>
              <w:bottom w:val="nil"/>
              <w:right w:val="nil"/>
            </w:tcBorders>
            <w:vAlign w:val="bottom"/>
          </w:tcPr>
          <w:p w14:paraId="31C7654B" w14:textId="5B171CE2" w:rsidR="0FA78656" w:rsidRDefault="0FA78656">
            <w:pPr>
              <w:rPr>
                <w:rFonts w:eastAsia="Arial" w:cs="Arial"/>
                <w:color w:val="000000" w:themeColor="text1"/>
              </w:rPr>
            </w:pPr>
            <w:r w:rsidRPr="0F2E0A01">
              <w:rPr>
                <w:rFonts w:eastAsia="Arial" w:cs="Arial"/>
                <w:color w:val="000000" w:themeColor="text1"/>
              </w:rPr>
              <w:t xml:space="preserve">  </w:t>
            </w:r>
          </w:p>
        </w:tc>
        <w:tc>
          <w:tcPr>
            <w:tcW w:w="1080" w:type="dxa"/>
            <w:tcBorders>
              <w:top w:val="nil"/>
              <w:left w:val="nil"/>
              <w:bottom w:val="nil"/>
              <w:right w:val="nil"/>
            </w:tcBorders>
          </w:tcPr>
          <w:p w14:paraId="6824C459" w14:textId="6E12BDC2" w:rsidR="0FA78656" w:rsidRDefault="0FA78656">
            <w:pPr>
              <w:rPr>
                <w:rFonts w:eastAsia="Arial" w:cs="Arial"/>
              </w:rPr>
            </w:pPr>
            <w:r w:rsidRPr="0F2E0A01">
              <w:rPr>
                <w:rFonts w:eastAsia="Arial" w:cs="Arial"/>
              </w:rPr>
              <w:t>Treated</w:t>
            </w:r>
          </w:p>
        </w:tc>
        <w:tc>
          <w:tcPr>
            <w:tcW w:w="1227" w:type="dxa"/>
            <w:tcBorders>
              <w:top w:val="nil"/>
              <w:left w:val="nil"/>
              <w:bottom w:val="nil"/>
              <w:right w:val="nil"/>
            </w:tcBorders>
          </w:tcPr>
          <w:p w14:paraId="483AD25F" w14:textId="36230130" w:rsidR="0FA78656" w:rsidRDefault="0FA78656">
            <w:pPr>
              <w:rPr>
                <w:rFonts w:eastAsia="Arial" w:cs="Arial"/>
              </w:rPr>
            </w:pPr>
            <w:r w:rsidRPr="0F2E0A01">
              <w:rPr>
                <w:rFonts w:eastAsia="Arial" w:cs="Arial"/>
              </w:rPr>
              <w:t>0±0.00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nil"/>
              <w:right w:val="nil"/>
            </w:tcBorders>
          </w:tcPr>
          <w:p w14:paraId="6BDAE747" w14:textId="2C92B895" w:rsidR="0FA78656" w:rsidRDefault="0FA78656">
            <w:pPr>
              <w:rPr>
                <w:rFonts w:eastAsia="Arial" w:cs="Arial"/>
              </w:rPr>
            </w:pPr>
            <w:r w:rsidRPr="0F2E0A01">
              <w:rPr>
                <w:rFonts w:eastAsia="Arial" w:cs="Arial"/>
              </w:rPr>
              <w:t>0.40±0.00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nil"/>
              <w:right w:val="nil"/>
            </w:tcBorders>
          </w:tcPr>
          <w:p w14:paraId="6E720664" w14:textId="26AEBB8B" w:rsidR="0FA78656" w:rsidRDefault="0FA78656">
            <w:pPr>
              <w:rPr>
                <w:rFonts w:eastAsia="Arial" w:cs="Arial"/>
              </w:rPr>
            </w:pPr>
            <w:r w:rsidRPr="0F2E0A01">
              <w:rPr>
                <w:rFonts w:eastAsia="Arial" w:cs="Arial"/>
              </w:rPr>
              <w:t>0.40±0.00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nil"/>
              <w:right w:val="nil"/>
            </w:tcBorders>
          </w:tcPr>
          <w:p w14:paraId="084D1C3E" w14:textId="0A317032" w:rsidR="0FA78656" w:rsidRDefault="0FA78656">
            <w:pPr>
              <w:rPr>
                <w:rFonts w:eastAsia="Arial" w:cs="Arial"/>
              </w:rPr>
            </w:pPr>
            <w:r w:rsidRPr="0F2E0A01">
              <w:rPr>
                <w:rFonts w:eastAsia="Arial" w:cs="Arial"/>
              </w:rPr>
              <w:t xml:space="preserve">0±0.00 </w:t>
            </w:r>
          </w:p>
        </w:tc>
        <w:tc>
          <w:tcPr>
            <w:tcW w:w="1227" w:type="dxa"/>
            <w:tcBorders>
              <w:top w:val="nil"/>
              <w:left w:val="nil"/>
              <w:bottom w:val="nil"/>
              <w:right w:val="nil"/>
            </w:tcBorders>
          </w:tcPr>
          <w:p w14:paraId="53C89941" w14:textId="2654F8FF" w:rsidR="0FA78656" w:rsidRDefault="0FA78656">
            <w:pPr>
              <w:rPr>
                <w:rFonts w:eastAsia="Arial" w:cs="Arial"/>
              </w:rPr>
            </w:pPr>
            <w:r w:rsidRPr="0F2E0A01">
              <w:rPr>
                <w:rFonts w:eastAsia="Arial" w:cs="Arial"/>
              </w:rPr>
              <w:t xml:space="preserve">0±0.00 </w:t>
            </w:r>
          </w:p>
        </w:tc>
      </w:tr>
      <w:tr w:rsidR="0FA78656" w14:paraId="3DDBF865" w14:textId="77777777" w:rsidTr="003B12F4">
        <w:trPr>
          <w:trHeight w:val="270"/>
        </w:trPr>
        <w:tc>
          <w:tcPr>
            <w:tcW w:w="930" w:type="dxa"/>
            <w:tcBorders>
              <w:top w:val="single" w:sz="8" w:space="0" w:color="008000"/>
              <w:left w:val="nil"/>
              <w:bottom w:val="nil"/>
              <w:right w:val="nil"/>
            </w:tcBorders>
            <w:vAlign w:val="bottom"/>
          </w:tcPr>
          <w:p w14:paraId="0D69B621" w14:textId="76E44C18" w:rsidR="0FA78656" w:rsidRDefault="0FA78656">
            <w:pPr>
              <w:rPr>
                <w:rFonts w:eastAsia="Arial" w:cs="Arial"/>
                <w:color w:val="000000" w:themeColor="text1"/>
              </w:rPr>
            </w:pPr>
            <w:r w:rsidRPr="0F2E0A01">
              <w:rPr>
                <w:rFonts w:eastAsia="Arial" w:cs="Arial"/>
                <w:color w:val="000000" w:themeColor="text1"/>
              </w:rPr>
              <w:t xml:space="preserve">9 </w:t>
            </w:r>
          </w:p>
        </w:tc>
        <w:tc>
          <w:tcPr>
            <w:tcW w:w="1080" w:type="dxa"/>
            <w:tcBorders>
              <w:top w:val="single" w:sz="8" w:space="0" w:color="008000"/>
              <w:left w:val="nil"/>
              <w:bottom w:val="nil"/>
              <w:right w:val="nil"/>
            </w:tcBorders>
          </w:tcPr>
          <w:p w14:paraId="0AE6CEA6" w14:textId="7954B39F" w:rsidR="0FA78656" w:rsidRDefault="0FA78656">
            <w:pPr>
              <w:rPr>
                <w:rFonts w:eastAsia="Arial" w:cs="Arial"/>
              </w:rPr>
            </w:pPr>
            <w:r w:rsidRPr="0F2E0A01">
              <w:rPr>
                <w:rFonts w:eastAsia="Arial" w:cs="Arial"/>
              </w:rPr>
              <w:t xml:space="preserve">Control </w:t>
            </w:r>
          </w:p>
        </w:tc>
        <w:tc>
          <w:tcPr>
            <w:tcW w:w="1227" w:type="dxa"/>
            <w:tcBorders>
              <w:top w:val="single" w:sz="8" w:space="0" w:color="008000"/>
              <w:left w:val="nil"/>
              <w:bottom w:val="nil"/>
              <w:right w:val="nil"/>
            </w:tcBorders>
          </w:tcPr>
          <w:p w14:paraId="57572793" w14:textId="5995D6EA" w:rsidR="0FA78656" w:rsidRDefault="0FA78656">
            <w:pPr>
              <w:rPr>
                <w:rFonts w:eastAsia="Arial" w:cs="Arial"/>
              </w:rPr>
            </w:pPr>
            <w:r w:rsidRPr="0F2E0A01">
              <w:rPr>
                <w:rFonts w:eastAsia="Arial" w:cs="Arial"/>
              </w:rPr>
              <w:t>0±0.00</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bottom w:val="nil"/>
              <w:right w:val="nil"/>
            </w:tcBorders>
          </w:tcPr>
          <w:p w14:paraId="13206969" w14:textId="7505806F" w:rsidR="0FA78656" w:rsidRDefault="0FA78656">
            <w:pPr>
              <w:rPr>
                <w:rFonts w:eastAsia="Arial" w:cs="Arial"/>
              </w:rPr>
            </w:pPr>
            <w:r w:rsidRPr="0F2E0A01">
              <w:rPr>
                <w:rFonts w:eastAsia="Arial" w:cs="Arial"/>
              </w:rPr>
              <w:t>4.27±0.00</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bottom w:val="nil"/>
              <w:right w:val="nil"/>
            </w:tcBorders>
          </w:tcPr>
          <w:p w14:paraId="065D1A3E" w14:textId="54B92A52" w:rsidR="0FA78656" w:rsidRDefault="0FA78656">
            <w:pPr>
              <w:rPr>
                <w:rFonts w:eastAsia="Arial" w:cs="Arial"/>
              </w:rPr>
            </w:pPr>
            <w:r w:rsidRPr="0F2E0A01">
              <w:rPr>
                <w:rFonts w:eastAsia="Arial" w:cs="Arial"/>
              </w:rPr>
              <w:t>3.99±0.00</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bottom w:val="nil"/>
              <w:right w:val="nil"/>
            </w:tcBorders>
          </w:tcPr>
          <w:p w14:paraId="29199E72" w14:textId="7E0E4CA8" w:rsidR="0FA78656" w:rsidRDefault="0FA78656">
            <w:pPr>
              <w:rPr>
                <w:rFonts w:eastAsia="Arial" w:cs="Arial"/>
              </w:rPr>
            </w:pPr>
            <w:r w:rsidRPr="0F2E0A01">
              <w:rPr>
                <w:rFonts w:eastAsia="Arial" w:cs="Arial"/>
              </w:rPr>
              <w:t xml:space="preserve">0.49±0.20 </w:t>
            </w:r>
          </w:p>
        </w:tc>
        <w:tc>
          <w:tcPr>
            <w:tcW w:w="1227" w:type="dxa"/>
            <w:tcBorders>
              <w:top w:val="single" w:sz="8" w:space="0" w:color="008000"/>
              <w:left w:val="nil"/>
              <w:bottom w:val="nil"/>
              <w:right w:val="nil"/>
            </w:tcBorders>
          </w:tcPr>
          <w:p w14:paraId="0F193BC2" w14:textId="5BA832FE" w:rsidR="0FA78656" w:rsidRDefault="0FA78656">
            <w:pPr>
              <w:rPr>
                <w:rFonts w:eastAsia="Arial" w:cs="Arial"/>
              </w:rPr>
            </w:pPr>
            <w:r w:rsidRPr="0F2E0A01">
              <w:rPr>
                <w:rFonts w:eastAsia="Arial" w:cs="Arial"/>
              </w:rPr>
              <w:t xml:space="preserve">0±0.00 </w:t>
            </w:r>
          </w:p>
        </w:tc>
      </w:tr>
      <w:tr w:rsidR="0FA78656" w14:paraId="3E1F072A" w14:textId="77777777" w:rsidTr="003B12F4">
        <w:trPr>
          <w:trHeight w:val="270"/>
        </w:trPr>
        <w:tc>
          <w:tcPr>
            <w:tcW w:w="930" w:type="dxa"/>
            <w:tcBorders>
              <w:top w:val="nil"/>
              <w:left w:val="nil"/>
              <w:bottom w:val="nil"/>
              <w:right w:val="nil"/>
            </w:tcBorders>
            <w:vAlign w:val="bottom"/>
          </w:tcPr>
          <w:p w14:paraId="2CC9ED9F" w14:textId="0CB6E682" w:rsidR="0FA78656" w:rsidRDefault="0FA78656">
            <w:pPr>
              <w:rPr>
                <w:rFonts w:eastAsia="Arial" w:cs="Arial"/>
                <w:color w:val="000000" w:themeColor="text1"/>
              </w:rPr>
            </w:pPr>
            <w:r w:rsidRPr="0F2E0A01">
              <w:rPr>
                <w:rFonts w:eastAsia="Arial" w:cs="Arial"/>
                <w:color w:val="000000" w:themeColor="text1"/>
              </w:rPr>
              <w:t xml:space="preserve">  </w:t>
            </w:r>
          </w:p>
        </w:tc>
        <w:tc>
          <w:tcPr>
            <w:tcW w:w="1080" w:type="dxa"/>
            <w:tcBorders>
              <w:top w:val="nil"/>
              <w:left w:val="nil"/>
              <w:bottom w:val="nil"/>
              <w:right w:val="nil"/>
            </w:tcBorders>
          </w:tcPr>
          <w:p w14:paraId="13230D98" w14:textId="144FA3C0" w:rsidR="0FA78656" w:rsidRDefault="0FA78656">
            <w:pPr>
              <w:rPr>
                <w:rFonts w:eastAsia="Arial" w:cs="Arial"/>
              </w:rPr>
            </w:pPr>
            <w:r w:rsidRPr="0F2E0A01">
              <w:rPr>
                <w:rFonts w:eastAsia="Arial" w:cs="Arial"/>
              </w:rPr>
              <w:t>Treated</w:t>
            </w:r>
          </w:p>
        </w:tc>
        <w:tc>
          <w:tcPr>
            <w:tcW w:w="1227" w:type="dxa"/>
            <w:tcBorders>
              <w:top w:val="nil"/>
              <w:left w:val="nil"/>
              <w:bottom w:val="nil"/>
              <w:right w:val="nil"/>
            </w:tcBorders>
          </w:tcPr>
          <w:p w14:paraId="194F436E" w14:textId="7CB650E1" w:rsidR="0FA78656" w:rsidRDefault="0FA78656">
            <w:pPr>
              <w:rPr>
                <w:rFonts w:eastAsia="Arial" w:cs="Arial"/>
              </w:rPr>
            </w:pPr>
            <w:r w:rsidRPr="0F2E0A01">
              <w:rPr>
                <w:rFonts w:eastAsia="Arial" w:cs="Arial"/>
              </w:rPr>
              <w:t>0.86±0.09</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nil"/>
              <w:right w:val="nil"/>
            </w:tcBorders>
          </w:tcPr>
          <w:p w14:paraId="72195AC5" w14:textId="19124481" w:rsidR="0FA78656" w:rsidRDefault="0FA78656">
            <w:pPr>
              <w:rPr>
                <w:rFonts w:eastAsia="Arial" w:cs="Arial"/>
              </w:rPr>
            </w:pPr>
            <w:r w:rsidRPr="0F2E0A01">
              <w:rPr>
                <w:rFonts w:eastAsia="Arial" w:cs="Arial"/>
              </w:rPr>
              <w:t>3.36±0.00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nil"/>
              <w:right w:val="nil"/>
            </w:tcBorders>
          </w:tcPr>
          <w:p w14:paraId="275BAF12" w14:textId="00620A1B" w:rsidR="0FA78656" w:rsidRDefault="0FA78656">
            <w:pPr>
              <w:rPr>
                <w:rFonts w:eastAsia="Arial" w:cs="Arial"/>
              </w:rPr>
            </w:pPr>
            <w:r w:rsidRPr="0F2E0A01">
              <w:rPr>
                <w:rFonts w:eastAsia="Arial" w:cs="Arial"/>
              </w:rPr>
              <w:t>2.79±0.00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nil"/>
              <w:right w:val="nil"/>
            </w:tcBorders>
          </w:tcPr>
          <w:p w14:paraId="757FB256" w14:textId="776081E1" w:rsidR="0FA78656" w:rsidRDefault="0FA78656">
            <w:pPr>
              <w:rPr>
                <w:rFonts w:eastAsia="Arial" w:cs="Arial"/>
              </w:rPr>
            </w:pPr>
            <w:r w:rsidRPr="0F2E0A01">
              <w:rPr>
                <w:rFonts w:eastAsia="Arial" w:cs="Arial"/>
              </w:rPr>
              <w:t xml:space="preserve">0.10±0.17 </w:t>
            </w:r>
          </w:p>
        </w:tc>
        <w:tc>
          <w:tcPr>
            <w:tcW w:w="1227" w:type="dxa"/>
            <w:tcBorders>
              <w:top w:val="nil"/>
              <w:left w:val="nil"/>
              <w:bottom w:val="nil"/>
              <w:right w:val="nil"/>
            </w:tcBorders>
          </w:tcPr>
          <w:p w14:paraId="0111FACF" w14:textId="10893CFD" w:rsidR="0FA78656" w:rsidRDefault="0FA78656">
            <w:pPr>
              <w:rPr>
                <w:rFonts w:eastAsia="Arial" w:cs="Arial"/>
              </w:rPr>
            </w:pPr>
            <w:r w:rsidRPr="0F2E0A01">
              <w:rPr>
                <w:rFonts w:eastAsia="Arial" w:cs="Arial"/>
              </w:rPr>
              <w:t xml:space="preserve">0±0.00 </w:t>
            </w:r>
          </w:p>
        </w:tc>
      </w:tr>
      <w:tr w:rsidR="0FA78656" w14:paraId="6ACCC2D2" w14:textId="77777777" w:rsidTr="00FB1B25">
        <w:trPr>
          <w:trHeight w:val="270"/>
        </w:trPr>
        <w:tc>
          <w:tcPr>
            <w:tcW w:w="930" w:type="dxa"/>
            <w:tcBorders>
              <w:top w:val="single" w:sz="8" w:space="0" w:color="008000"/>
              <w:left w:val="nil"/>
              <w:right w:val="nil"/>
            </w:tcBorders>
            <w:vAlign w:val="bottom"/>
          </w:tcPr>
          <w:p w14:paraId="23DDFCDF" w14:textId="014BCF3E" w:rsidR="0FA78656" w:rsidRDefault="0FA78656">
            <w:pPr>
              <w:rPr>
                <w:rFonts w:eastAsia="Arial" w:cs="Arial"/>
                <w:color w:val="000000" w:themeColor="text1"/>
              </w:rPr>
            </w:pPr>
            <w:r w:rsidRPr="0F2E0A01">
              <w:rPr>
                <w:rFonts w:eastAsia="Arial" w:cs="Arial"/>
                <w:color w:val="000000" w:themeColor="text1"/>
              </w:rPr>
              <w:t xml:space="preserve">14 </w:t>
            </w:r>
          </w:p>
        </w:tc>
        <w:tc>
          <w:tcPr>
            <w:tcW w:w="1080" w:type="dxa"/>
            <w:tcBorders>
              <w:top w:val="single" w:sz="8" w:space="0" w:color="008000"/>
              <w:left w:val="nil"/>
              <w:right w:val="nil"/>
            </w:tcBorders>
          </w:tcPr>
          <w:p w14:paraId="1A093EA6" w14:textId="2B7FF489" w:rsidR="0FA78656" w:rsidRDefault="0FA78656">
            <w:pPr>
              <w:rPr>
                <w:rFonts w:eastAsia="Arial" w:cs="Arial"/>
              </w:rPr>
            </w:pPr>
            <w:r w:rsidRPr="0F2E0A01">
              <w:rPr>
                <w:rFonts w:eastAsia="Arial" w:cs="Arial"/>
              </w:rPr>
              <w:t xml:space="preserve">Control </w:t>
            </w:r>
          </w:p>
        </w:tc>
        <w:tc>
          <w:tcPr>
            <w:tcW w:w="1227" w:type="dxa"/>
            <w:tcBorders>
              <w:top w:val="single" w:sz="8" w:space="0" w:color="008000"/>
              <w:left w:val="nil"/>
              <w:right w:val="nil"/>
            </w:tcBorders>
          </w:tcPr>
          <w:p w14:paraId="348490BE" w14:textId="54952428" w:rsidR="0FA78656" w:rsidRDefault="0FA78656">
            <w:pPr>
              <w:rPr>
                <w:rFonts w:eastAsia="Arial" w:cs="Arial"/>
              </w:rPr>
            </w:pPr>
            <w:r w:rsidRPr="0F2E0A01">
              <w:rPr>
                <w:rFonts w:eastAsia="Arial" w:cs="Arial"/>
              </w:rPr>
              <w:t>1.19±0.07</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right w:val="nil"/>
            </w:tcBorders>
          </w:tcPr>
          <w:p w14:paraId="14FFAA72" w14:textId="6A938A7C" w:rsidR="0FA78656" w:rsidRDefault="0FA78656">
            <w:pPr>
              <w:rPr>
                <w:rFonts w:eastAsia="Arial" w:cs="Arial"/>
              </w:rPr>
            </w:pPr>
            <w:r w:rsidRPr="0F2E0A01">
              <w:rPr>
                <w:rFonts w:eastAsia="Arial" w:cs="Arial"/>
              </w:rPr>
              <w:t>4.31±0.00</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right w:val="nil"/>
            </w:tcBorders>
          </w:tcPr>
          <w:p w14:paraId="16A4A494" w14:textId="03C9DAF2" w:rsidR="0FA78656" w:rsidRDefault="0FA78656">
            <w:pPr>
              <w:rPr>
                <w:rFonts w:eastAsia="Arial" w:cs="Arial"/>
              </w:rPr>
            </w:pPr>
            <w:r w:rsidRPr="0F2E0A01">
              <w:rPr>
                <w:rFonts w:eastAsia="Arial" w:cs="Arial"/>
              </w:rPr>
              <w:t>4.28±0.00</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right w:val="nil"/>
            </w:tcBorders>
          </w:tcPr>
          <w:p w14:paraId="26473DFF" w14:textId="6EB9B22F" w:rsidR="0FA78656" w:rsidRDefault="0FA78656">
            <w:pPr>
              <w:rPr>
                <w:rFonts w:eastAsia="Arial" w:cs="Arial"/>
              </w:rPr>
            </w:pPr>
            <w:r w:rsidRPr="0F2E0A01">
              <w:rPr>
                <w:rFonts w:eastAsia="Arial" w:cs="Arial"/>
              </w:rPr>
              <w:t>1.78±0.02</w:t>
            </w:r>
            <w:r w:rsidRPr="0F2E0A01">
              <w:rPr>
                <w:rFonts w:eastAsia="Arial" w:cs="Arial"/>
                <w:vertAlign w:val="superscript"/>
              </w:rPr>
              <w:t>a</w:t>
            </w:r>
            <w:r w:rsidRPr="0F2E0A01">
              <w:rPr>
                <w:rFonts w:eastAsia="Arial" w:cs="Arial"/>
              </w:rPr>
              <w:t xml:space="preserve"> </w:t>
            </w:r>
          </w:p>
        </w:tc>
        <w:tc>
          <w:tcPr>
            <w:tcW w:w="1227" w:type="dxa"/>
            <w:tcBorders>
              <w:top w:val="single" w:sz="8" w:space="0" w:color="008000"/>
              <w:left w:val="nil"/>
              <w:right w:val="nil"/>
            </w:tcBorders>
          </w:tcPr>
          <w:p w14:paraId="347AC2AB" w14:textId="612C979F" w:rsidR="0FA78656" w:rsidRDefault="0FA78656">
            <w:pPr>
              <w:rPr>
                <w:rFonts w:eastAsia="Arial" w:cs="Arial"/>
              </w:rPr>
            </w:pPr>
            <w:r w:rsidRPr="0F2E0A01">
              <w:rPr>
                <w:rFonts w:eastAsia="Arial" w:cs="Arial"/>
              </w:rPr>
              <w:t>2.03±0.01</w:t>
            </w:r>
            <w:r w:rsidRPr="0F2E0A01">
              <w:rPr>
                <w:rFonts w:eastAsia="Arial" w:cs="Arial"/>
                <w:vertAlign w:val="superscript"/>
              </w:rPr>
              <w:t>a</w:t>
            </w:r>
            <w:r w:rsidRPr="0F2E0A01">
              <w:rPr>
                <w:rFonts w:eastAsia="Arial" w:cs="Arial"/>
              </w:rPr>
              <w:t xml:space="preserve"> </w:t>
            </w:r>
          </w:p>
        </w:tc>
      </w:tr>
      <w:tr w:rsidR="0FA78656" w14:paraId="26D8EDE4" w14:textId="77777777" w:rsidTr="003B12F4">
        <w:trPr>
          <w:trHeight w:val="270"/>
        </w:trPr>
        <w:tc>
          <w:tcPr>
            <w:tcW w:w="930" w:type="dxa"/>
            <w:tcBorders>
              <w:top w:val="nil"/>
              <w:left w:val="nil"/>
              <w:bottom w:val="single" w:sz="12" w:space="0" w:color="008000"/>
              <w:right w:val="nil"/>
            </w:tcBorders>
            <w:vAlign w:val="bottom"/>
          </w:tcPr>
          <w:p w14:paraId="3A19C4DF" w14:textId="0B704331" w:rsidR="0FA78656" w:rsidRDefault="0FA78656">
            <w:pPr>
              <w:rPr>
                <w:rFonts w:eastAsia="Arial" w:cs="Arial"/>
                <w:color w:val="000000" w:themeColor="text1"/>
              </w:rPr>
            </w:pPr>
            <w:r w:rsidRPr="0F2E0A01">
              <w:rPr>
                <w:rFonts w:eastAsia="Arial" w:cs="Arial"/>
                <w:color w:val="000000" w:themeColor="text1"/>
              </w:rPr>
              <w:t xml:space="preserve">  </w:t>
            </w:r>
          </w:p>
        </w:tc>
        <w:tc>
          <w:tcPr>
            <w:tcW w:w="1080" w:type="dxa"/>
            <w:tcBorders>
              <w:top w:val="nil"/>
              <w:left w:val="nil"/>
              <w:bottom w:val="single" w:sz="12" w:space="0" w:color="008000"/>
              <w:right w:val="nil"/>
            </w:tcBorders>
          </w:tcPr>
          <w:p w14:paraId="04B3DC06" w14:textId="58A9CAD9" w:rsidR="0FA78656" w:rsidRDefault="0FA78656">
            <w:pPr>
              <w:rPr>
                <w:rFonts w:eastAsia="Arial" w:cs="Arial"/>
              </w:rPr>
            </w:pPr>
            <w:r w:rsidRPr="0F2E0A01">
              <w:rPr>
                <w:rFonts w:eastAsia="Arial" w:cs="Arial"/>
              </w:rPr>
              <w:t>Treated</w:t>
            </w:r>
          </w:p>
        </w:tc>
        <w:tc>
          <w:tcPr>
            <w:tcW w:w="1227" w:type="dxa"/>
            <w:tcBorders>
              <w:top w:val="nil"/>
              <w:left w:val="nil"/>
              <w:bottom w:val="single" w:sz="12" w:space="0" w:color="008000"/>
              <w:right w:val="nil"/>
            </w:tcBorders>
          </w:tcPr>
          <w:p w14:paraId="0CEA97ED" w14:textId="5046E0F7" w:rsidR="0FA78656" w:rsidRDefault="0FA78656">
            <w:pPr>
              <w:rPr>
                <w:rFonts w:eastAsia="Arial" w:cs="Arial"/>
              </w:rPr>
            </w:pPr>
            <w:r w:rsidRPr="0F2E0A01">
              <w:rPr>
                <w:rFonts w:eastAsia="Arial" w:cs="Arial"/>
              </w:rPr>
              <w:t>0±0.00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single" w:sz="12" w:space="0" w:color="008000"/>
              <w:right w:val="nil"/>
            </w:tcBorders>
          </w:tcPr>
          <w:p w14:paraId="54073D47" w14:textId="5299FDAD" w:rsidR="0FA78656" w:rsidRDefault="0FA78656">
            <w:pPr>
              <w:rPr>
                <w:rFonts w:eastAsia="Arial" w:cs="Arial"/>
              </w:rPr>
            </w:pPr>
            <w:r w:rsidRPr="0F2E0A01">
              <w:rPr>
                <w:rFonts w:eastAsia="Arial" w:cs="Arial"/>
              </w:rPr>
              <w:t>2.41±0.01</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single" w:sz="12" w:space="0" w:color="008000"/>
              <w:right w:val="nil"/>
            </w:tcBorders>
          </w:tcPr>
          <w:p w14:paraId="0D00DBA3" w14:textId="163A4E95" w:rsidR="0FA78656" w:rsidRDefault="0FA78656">
            <w:pPr>
              <w:rPr>
                <w:rFonts w:eastAsia="Arial" w:cs="Arial"/>
              </w:rPr>
            </w:pPr>
            <w:r w:rsidRPr="0F2E0A01">
              <w:rPr>
                <w:rFonts w:eastAsia="Arial" w:cs="Arial"/>
              </w:rPr>
              <w:t>2.73±0.00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single" w:sz="12" w:space="0" w:color="008000"/>
              <w:right w:val="nil"/>
            </w:tcBorders>
          </w:tcPr>
          <w:p w14:paraId="77518FA7" w14:textId="406A1B24" w:rsidR="0FA78656" w:rsidRDefault="0FA78656">
            <w:pPr>
              <w:rPr>
                <w:rFonts w:eastAsia="Arial" w:cs="Arial"/>
              </w:rPr>
            </w:pPr>
            <w:r w:rsidRPr="0F2E0A01">
              <w:rPr>
                <w:rFonts w:eastAsia="Arial" w:cs="Arial"/>
              </w:rPr>
              <w:t>0±0.00</w:t>
            </w:r>
            <w:r w:rsidRPr="0F2E0A01">
              <w:rPr>
                <w:rFonts w:eastAsia="Arial" w:cs="Arial"/>
                <w:vertAlign w:val="superscript"/>
              </w:rPr>
              <w:t>b</w:t>
            </w:r>
            <w:r w:rsidRPr="0F2E0A01">
              <w:rPr>
                <w:rFonts w:eastAsia="Arial" w:cs="Arial"/>
              </w:rPr>
              <w:t xml:space="preserve"> </w:t>
            </w:r>
          </w:p>
        </w:tc>
        <w:tc>
          <w:tcPr>
            <w:tcW w:w="1227" w:type="dxa"/>
            <w:tcBorders>
              <w:top w:val="nil"/>
              <w:left w:val="nil"/>
              <w:bottom w:val="single" w:sz="12" w:space="0" w:color="008000"/>
              <w:right w:val="nil"/>
            </w:tcBorders>
          </w:tcPr>
          <w:p w14:paraId="10ADEAC5" w14:textId="706506DA" w:rsidR="0FA78656" w:rsidRDefault="0FA78656">
            <w:pPr>
              <w:rPr>
                <w:rFonts w:eastAsia="Arial" w:cs="Arial"/>
              </w:rPr>
            </w:pPr>
            <w:r w:rsidRPr="0F2E0A01">
              <w:rPr>
                <w:rFonts w:eastAsia="Arial" w:cs="Arial"/>
              </w:rPr>
              <w:t>0±0.00</w:t>
            </w:r>
            <w:r w:rsidRPr="0F2E0A01">
              <w:rPr>
                <w:rFonts w:eastAsia="Arial" w:cs="Arial"/>
                <w:vertAlign w:val="superscript"/>
              </w:rPr>
              <w:t>b</w:t>
            </w:r>
          </w:p>
        </w:tc>
      </w:tr>
    </w:tbl>
    <w:p w14:paraId="06403F80" w14:textId="55F27AF4" w:rsidR="0FA78656" w:rsidRPr="003A006A" w:rsidRDefault="72B8C5A8" w:rsidP="46368AB9">
      <w:pPr>
        <w:spacing w:line="257" w:lineRule="auto"/>
        <w:rPr>
          <w:rFonts w:eastAsia="Arial" w:cs="Arial"/>
          <w:sz w:val="16"/>
          <w:szCs w:val="18"/>
          <w:lang w:val="en-US"/>
        </w:rPr>
      </w:pPr>
      <w:r w:rsidRPr="003A006A">
        <w:rPr>
          <w:rFonts w:eastAsia="Arial" w:cs="Arial"/>
          <w:sz w:val="16"/>
          <w:szCs w:val="18"/>
          <w:lang w:val="en-US"/>
        </w:rPr>
        <w:t xml:space="preserve">1: </w:t>
      </w:r>
      <w:r w:rsidRPr="003A006A">
        <w:rPr>
          <w:rFonts w:eastAsia="Arial" w:cs="Arial"/>
          <w:sz w:val="16"/>
          <w:szCs w:val="18"/>
        </w:rPr>
        <w:t xml:space="preserve">Control, commercial cherry tomatoes; Treated, cherry tomatoes washed with plasma activated water and covered with sodium caseinate based coating.  </w:t>
      </w:r>
      <w:r w:rsidRPr="003A006A">
        <w:rPr>
          <w:rFonts w:eastAsia="Arial" w:cs="Arial"/>
          <w:sz w:val="16"/>
          <w:szCs w:val="18"/>
          <w:lang w:val="en-US"/>
        </w:rPr>
        <w:t xml:space="preserve">Samples were analyzed at 0, 3, 6, 9 and 14 days of storage at 4°C. 2: TBC, total bacterial count at 30°C; PB, psychotropic bacteria; ENT, </w:t>
      </w:r>
      <w:r w:rsidRPr="003A006A">
        <w:rPr>
          <w:rFonts w:eastAsia="Arial" w:cs="Arial"/>
          <w:i/>
          <w:sz w:val="16"/>
          <w:szCs w:val="18"/>
          <w:lang w:val="en-US"/>
        </w:rPr>
        <w:t xml:space="preserve">Enterobacteriaceae; </w:t>
      </w:r>
      <w:r w:rsidRPr="003A006A">
        <w:rPr>
          <w:rFonts w:eastAsia="Arial" w:cs="Arial"/>
          <w:sz w:val="16"/>
          <w:szCs w:val="18"/>
          <w:lang w:val="en-US"/>
        </w:rPr>
        <w:t xml:space="preserve">Y&amp;M, </w:t>
      </w:r>
      <w:proofErr w:type="gramStart"/>
      <w:r w:rsidRPr="003A006A">
        <w:rPr>
          <w:rFonts w:eastAsia="Arial" w:cs="Arial"/>
          <w:sz w:val="16"/>
          <w:szCs w:val="18"/>
          <w:lang w:val="en-US"/>
        </w:rPr>
        <w:t>yeasts</w:t>
      </w:r>
      <w:proofErr w:type="gramEnd"/>
      <w:r w:rsidRPr="003A006A">
        <w:rPr>
          <w:rFonts w:eastAsia="Arial" w:cs="Arial"/>
          <w:sz w:val="16"/>
          <w:szCs w:val="18"/>
          <w:lang w:val="en-US"/>
        </w:rPr>
        <w:t xml:space="preserve"> and molds; PSA, </w:t>
      </w:r>
      <w:r w:rsidRPr="003A006A">
        <w:rPr>
          <w:rFonts w:eastAsia="Arial" w:cs="Arial"/>
          <w:i/>
          <w:sz w:val="16"/>
          <w:szCs w:val="18"/>
          <w:lang w:val="en-US"/>
        </w:rPr>
        <w:t xml:space="preserve">Pseudomonas </w:t>
      </w:r>
      <w:r w:rsidRPr="003A006A">
        <w:rPr>
          <w:rFonts w:eastAsia="Arial" w:cs="Arial"/>
          <w:sz w:val="16"/>
          <w:szCs w:val="18"/>
          <w:lang w:val="en-US"/>
        </w:rPr>
        <w:t>spp.</w:t>
      </w:r>
    </w:p>
    <w:p w14:paraId="5149A88A" w14:textId="431A3CE8" w:rsidR="006B4888" w:rsidRDefault="00B12F11" w:rsidP="00B12F11">
      <w:pPr>
        <w:pStyle w:val="CETHeading1"/>
      </w:pPr>
      <w:r>
        <w:lastRenderedPageBreak/>
        <w:t>Conclusion</w:t>
      </w:r>
    </w:p>
    <w:p w14:paraId="609F6E64" w14:textId="68F66E46" w:rsidR="00B12F11" w:rsidRDefault="00B12F11" w:rsidP="00B12F11">
      <w:pPr>
        <w:pStyle w:val="CETBodytext"/>
      </w:pPr>
      <w:r>
        <w:t>The combination of PAW and SC/GG/BW edible coating on MP cherry tomatoes stored at 4°C up to 14 days,</w:t>
      </w:r>
      <w:r w:rsidR="0018702F">
        <w:t xml:space="preserve"> did not affected the pH, TSS</w:t>
      </w:r>
      <w:r w:rsidR="003C3BF0">
        <w:t>, weight loss and</w:t>
      </w:r>
      <w:r w:rsidR="0018702F">
        <w:t xml:space="preserve"> firmness. It </w:t>
      </w:r>
      <w:r>
        <w:t>was able to well preserve the color changes</w:t>
      </w:r>
      <w:r w:rsidR="0018702F">
        <w:t xml:space="preserve"> as well as the microbiological quality during storage and</w:t>
      </w:r>
      <w:r>
        <w:t xml:space="preserve"> increased the total polyphenol content </w:t>
      </w:r>
      <w:r w:rsidR="0018702F">
        <w:t xml:space="preserve">compared to the control sample. Thus, the combination of PAW and SC based edible coating </w:t>
      </w:r>
      <w:r w:rsidR="003D6758">
        <w:t>can be considered a promising alternative mild technology to preserve the safety and the quality of the product during storage.</w:t>
      </w:r>
    </w:p>
    <w:p w14:paraId="7AD52C46" w14:textId="77777777" w:rsidR="003C3BF0" w:rsidRDefault="003C3BF0" w:rsidP="003C3BF0">
      <w:pPr>
        <w:pStyle w:val="CETReference"/>
      </w:pPr>
      <w:r>
        <w:t xml:space="preserve">Acknowledgments </w:t>
      </w:r>
    </w:p>
    <w:p w14:paraId="53A8ED8B" w14:textId="63EEB92C" w:rsidR="003C3BF0" w:rsidRPr="003C3BF0" w:rsidRDefault="003C3BF0" w:rsidP="003C3BF0">
      <w:pPr>
        <w:pStyle w:val="CETBodytext"/>
      </w:pPr>
      <w:r w:rsidRPr="003C3BF0">
        <w:t xml:space="preserve">We acknowledge the financial support by </w:t>
      </w:r>
      <w:r w:rsidRPr="003C3BF0">
        <w:rPr>
          <w:rStyle w:val="normaltextrun"/>
        </w:rPr>
        <w:t>European Union’s H2020 Research and Innovation Program (No.817936).</w:t>
      </w:r>
      <w:r w:rsidRPr="003C3BF0">
        <w:rPr>
          <w:rStyle w:val="eop"/>
        </w:rPr>
        <w:t> </w:t>
      </w:r>
    </w:p>
    <w:p w14:paraId="1302F440" w14:textId="1B29E983" w:rsidR="00FB1B25" w:rsidRPr="00B12F11" w:rsidRDefault="00FB1B25" w:rsidP="00FB1B25">
      <w:pPr>
        <w:pStyle w:val="CETReference"/>
      </w:pPr>
      <w:r>
        <w:t>References</w:t>
      </w:r>
    </w:p>
    <w:p w14:paraId="4D623253" w14:textId="77777777" w:rsidR="000139D0" w:rsidRDefault="000139D0" w:rsidP="00605904">
      <w:pPr>
        <w:pStyle w:val="CETReferencetext"/>
      </w:pPr>
    </w:p>
    <w:p w14:paraId="7E0F4C72" w14:textId="3CB832B8" w:rsidR="005D5B6B" w:rsidRPr="005D5B6B" w:rsidRDefault="000139D0" w:rsidP="005D5B6B">
      <w:pPr>
        <w:widowControl w:val="0"/>
        <w:autoSpaceDE w:val="0"/>
        <w:autoSpaceDN w:val="0"/>
        <w:adjustRightInd w:val="0"/>
        <w:spacing w:line="240" w:lineRule="auto"/>
        <w:ind w:left="480" w:hanging="480"/>
        <w:rPr>
          <w:rFonts w:cs="Arial"/>
          <w:noProof/>
          <w:szCs w:val="24"/>
        </w:rPr>
      </w:pPr>
      <w:r>
        <w:fldChar w:fldCharType="begin" w:fldLock="1"/>
      </w:r>
      <w:r>
        <w:instrText xml:space="preserve">ADDIN Mendeley Bibliography CSL_BIBLIOGRAPHY </w:instrText>
      </w:r>
      <w:r>
        <w:fldChar w:fldCharType="separate"/>
      </w:r>
      <w:r w:rsidR="005D5B6B" w:rsidRPr="005D5B6B">
        <w:rPr>
          <w:rFonts w:cs="Arial"/>
          <w:noProof/>
          <w:szCs w:val="24"/>
        </w:rPr>
        <w:t xml:space="preserve">Ali, A., Maqbool, M., Alderson, P. G., &amp; Zahid, N. (2013). Effect of gum arabic as an edible coating on antioxidant capacity of tomato (Solanum lycopersicum L.) fruit during storage. </w:t>
      </w:r>
      <w:r w:rsidR="005D5B6B" w:rsidRPr="005D5B6B">
        <w:rPr>
          <w:rFonts w:cs="Arial"/>
          <w:i/>
          <w:iCs/>
          <w:noProof/>
          <w:szCs w:val="24"/>
        </w:rPr>
        <w:t>Postharvest Biology and Technology</w:t>
      </w:r>
      <w:r w:rsidR="005D5B6B" w:rsidRPr="005D5B6B">
        <w:rPr>
          <w:rFonts w:cs="Arial"/>
          <w:noProof/>
          <w:szCs w:val="24"/>
        </w:rPr>
        <w:t xml:space="preserve">, </w:t>
      </w:r>
      <w:r w:rsidR="005D5B6B" w:rsidRPr="005D5B6B">
        <w:rPr>
          <w:rFonts w:cs="Arial"/>
          <w:i/>
          <w:iCs/>
          <w:noProof/>
          <w:szCs w:val="24"/>
        </w:rPr>
        <w:t>76</w:t>
      </w:r>
      <w:r w:rsidR="005D5B6B" w:rsidRPr="005D5B6B">
        <w:rPr>
          <w:rFonts w:cs="Arial"/>
          <w:noProof/>
          <w:szCs w:val="24"/>
        </w:rPr>
        <w:t>, 119–124. https://doi.org/10.1016/j.postharvbio.2012.09.011</w:t>
      </w:r>
    </w:p>
    <w:p w14:paraId="63AB1F06"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Gonz, G. A., Valenzuela-soto, E., Lizardi-mendoza, J., Goycoolea, F., Mart, M. A., &amp; Ayala-zavala, J. F. (2009). </w:t>
      </w:r>
      <w:r w:rsidRPr="005D5B6B">
        <w:rPr>
          <w:rFonts w:cs="Arial"/>
          <w:i/>
          <w:iCs/>
          <w:noProof/>
          <w:szCs w:val="24"/>
        </w:rPr>
        <w:t>Effect of chitosan coating in preventing deterioration and preserving the quality of fresh-cut papaya ‘ Maradol ’ A Villegas-Ochoa , Imelda N Monroy-Garc ´</w:t>
      </w:r>
      <w:r w:rsidRPr="005D5B6B">
        <w:rPr>
          <w:rFonts w:cs="Arial"/>
          <w:noProof/>
          <w:szCs w:val="24"/>
        </w:rPr>
        <w:t>. (August 2008), 15–23. https://doi.org/10.1002/jsfa.3405</w:t>
      </w:r>
    </w:p>
    <w:p w14:paraId="36D223C3"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Islam, M. Z., Lee, Y., Mele, M. A., &amp; Choi, I. (2019). </w:t>
      </w:r>
      <w:r w:rsidRPr="005D5B6B">
        <w:rPr>
          <w:rFonts w:cs="Arial"/>
          <w:i/>
          <w:iCs/>
          <w:noProof/>
          <w:szCs w:val="24"/>
        </w:rPr>
        <w:t>Effect of fruit size on fruit quality , shelf life and microbial activity in cherry tomatoes</w:t>
      </w:r>
      <w:r w:rsidRPr="005D5B6B">
        <w:rPr>
          <w:rFonts w:cs="Arial"/>
          <w:noProof/>
          <w:szCs w:val="24"/>
        </w:rPr>
        <w:t xml:space="preserve">. </w:t>
      </w:r>
      <w:r w:rsidRPr="005D5B6B">
        <w:rPr>
          <w:rFonts w:cs="Arial"/>
          <w:i/>
          <w:iCs/>
          <w:noProof/>
          <w:szCs w:val="24"/>
        </w:rPr>
        <w:t>4</w:t>
      </w:r>
      <w:r w:rsidRPr="005D5B6B">
        <w:rPr>
          <w:rFonts w:cs="Arial"/>
          <w:noProof/>
          <w:szCs w:val="24"/>
        </w:rPr>
        <w:t>(April), 340–348. https://doi.org/10.3934/agrfood.2019.2.340</w:t>
      </w:r>
    </w:p>
    <w:p w14:paraId="36B2CFF9"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Khan, M. R., Volpe, S., Valentino, M., Miele, N. A., Cavella, S., &amp; Torrieri, E. (2021). Active casein coatings and films for perishable foods: Structural properties and shelf-life extension. </w:t>
      </w:r>
      <w:r w:rsidRPr="005D5B6B">
        <w:rPr>
          <w:rFonts w:cs="Arial"/>
          <w:i/>
          <w:iCs/>
          <w:noProof/>
          <w:szCs w:val="24"/>
        </w:rPr>
        <w:t>Coatings</w:t>
      </w:r>
      <w:r w:rsidRPr="005D5B6B">
        <w:rPr>
          <w:rFonts w:cs="Arial"/>
          <w:noProof/>
          <w:szCs w:val="24"/>
        </w:rPr>
        <w:t>, Vol. 11. https://doi.org/10.3390/coatings11080899</w:t>
      </w:r>
    </w:p>
    <w:p w14:paraId="04E15F06"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Laurita, R., Gozzi, G., Tappi, S., Capelli, F., Bisag, A., Laghi, G., … Vannini, L. (2021). Effect of plasma activated water (PAW) on rocket leaves decontamination and nutritional value. </w:t>
      </w:r>
      <w:r w:rsidRPr="005D5B6B">
        <w:rPr>
          <w:rFonts w:cs="Arial"/>
          <w:i/>
          <w:iCs/>
          <w:noProof/>
          <w:szCs w:val="24"/>
        </w:rPr>
        <w:t>Innovative Food Science and Emerging Technologies</w:t>
      </w:r>
      <w:r w:rsidRPr="005D5B6B">
        <w:rPr>
          <w:rFonts w:cs="Arial"/>
          <w:noProof/>
          <w:szCs w:val="24"/>
        </w:rPr>
        <w:t xml:space="preserve">, </w:t>
      </w:r>
      <w:r w:rsidRPr="005D5B6B">
        <w:rPr>
          <w:rFonts w:cs="Arial"/>
          <w:i/>
          <w:iCs/>
          <w:noProof/>
          <w:szCs w:val="24"/>
        </w:rPr>
        <w:t>73</w:t>
      </w:r>
      <w:r w:rsidRPr="005D5B6B">
        <w:rPr>
          <w:rFonts w:cs="Arial"/>
          <w:noProof/>
          <w:szCs w:val="24"/>
        </w:rPr>
        <w:t>(April), 102805. https://doi.org/10.1016/j.ifset.2021.102805</w:t>
      </w:r>
    </w:p>
    <w:p w14:paraId="55071B4E"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Mart, D., Zapata, P. J., Castillo, S., &amp; Valero, D. (2008). </w:t>
      </w:r>
      <w:r w:rsidRPr="005D5B6B">
        <w:rPr>
          <w:rFonts w:cs="Arial"/>
          <w:i/>
          <w:iCs/>
          <w:noProof/>
          <w:szCs w:val="24"/>
        </w:rPr>
        <w:t>Use of alginate or zein as edible coatings to delay postharvest ripening process and to maintain tomato ( Solanum lycopersicon Mill ) quality</w:t>
      </w:r>
      <w:r w:rsidRPr="005D5B6B">
        <w:rPr>
          <w:rFonts w:cs="Arial"/>
          <w:noProof/>
          <w:szCs w:val="24"/>
        </w:rPr>
        <w:t xml:space="preserve">. </w:t>
      </w:r>
      <w:r w:rsidRPr="005D5B6B">
        <w:rPr>
          <w:rFonts w:cs="Arial"/>
          <w:i/>
          <w:iCs/>
          <w:noProof/>
          <w:szCs w:val="24"/>
        </w:rPr>
        <w:t>1293</w:t>
      </w:r>
      <w:r w:rsidRPr="005D5B6B">
        <w:rPr>
          <w:rFonts w:cs="Arial"/>
          <w:noProof/>
          <w:szCs w:val="24"/>
        </w:rPr>
        <w:t>(September 2007), 1287–1293. https://doi.org/10.1002/jsfa</w:t>
      </w:r>
    </w:p>
    <w:p w14:paraId="0CAF6D09"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Miele, N. A., Volpe, S., Torrieri, E., &amp; Cavella, S. (2022). Improving physical properties of sodium caseinate based coating with the optimal formulation : Effect on strawberries ’ respiration and transpiration rates. </w:t>
      </w:r>
      <w:r w:rsidRPr="005D5B6B">
        <w:rPr>
          <w:rFonts w:cs="Arial"/>
          <w:i/>
          <w:iCs/>
          <w:noProof/>
          <w:szCs w:val="24"/>
        </w:rPr>
        <w:t>Journal of Food Engineering</w:t>
      </w:r>
      <w:r w:rsidRPr="005D5B6B">
        <w:rPr>
          <w:rFonts w:cs="Arial"/>
          <w:noProof/>
          <w:szCs w:val="24"/>
        </w:rPr>
        <w:t xml:space="preserve">, </w:t>
      </w:r>
      <w:r w:rsidRPr="005D5B6B">
        <w:rPr>
          <w:rFonts w:cs="Arial"/>
          <w:i/>
          <w:iCs/>
          <w:noProof/>
          <w:szCs w:val="24"/>
        </w:rPr>
        <w:t>331</w:t>
      </w:r>
      <w:r w:rsidRPr="005D5B6B">
        <w:rPr>
          <w:rFonts w:cs="Arial"/>
          <w:noProof/>
          <w:szCs w:val="24"/>
        </w:rPr>
        <w:t>(May), 111123. https://doi.org/10.1016/j.jfoodeng.2022.111123</w:t>
      </w:r>
    </w:p>
    <w:p w14:paraId="40F6A2C0"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Razali, Z., Somasundram, C., Nurulain, S. Z., Kunasekaran, W., &amp; Alias, M. R. (2021). Postharvest quality of cherry tomatoes coated with mucilage from dragon fruit and irradiated with uv-c. </w:t>
      </w:r>
      <w:r w:rsidRPr="005D5B6B">
        <w:rPr>
          <w:rFonts w:cs="Arial"/>
          <w:i/>
          <w:iCs/>
          <w:noProof/>
          <w:szCs w:val="24"/>
        </w:rPr>
        <w:t>Polymers</w:t>
      </w:r>
      <w:r w:rsidRPr="005D5B6B">
        <w:rPr>
          <w:rFonts w:cs="Arial"/>
          <w:noProof/>
          <w:szCs w:val="24"/>
        </w:rPr>
        <w:t xml:space="preserve">, </w:t>
      </w:r>
      <w:r w:rsidRPr="005D5B6B">
        <w:rPr>
          <w:rFonts w:cs="Arial"/>
          <w:i/>
          <w:iCs/>
          <w:noProof/>
          <w:szCs w:val="24"/>
        </w:rPr>
        <w:t>13</w:t>
      </w:r>
      <w:r w:rsidRPr="005D5B6B">
        <w:rPr>
          <w:rFonts w:cs="Arial"/>
          <w:noProof/>
          <w:szCs w:val="24"/>
        </w:rPr>
        <w:t>(17), 1–13. https://doi.org/10.3390/polym13172919</w:t>
      </w:r>
    </w:p>
    <w:p w14:paraId="50CE673B"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Rehan, M., Volpe, S., Salucci, E., Bilal, M., &amp; Torrieri, E. (2022). Active caseinate / guar gum films incorporated with gallic acid : Physicochemical properties and release kinetics. </w:t>
      </w:r>
      <w:r w:rsidRPr="005D5B6B">
        <w:rPr>
          <w:rFonts w:cs="Arial"/>
          <w:i/>
          <w:iCs/>
          <w:noProof/>
          <w:szCs w:val="24"/>
        </w:rPr>
        <w:t>Journal of Food Engineering</w:t>
      </w:r>
      <w:r w:rsidRPr="005D5B6B">
        <w:rPr>
          <w:rFonts w:cs="Arial"/>
          <w:noProof/>
          <w:szCs w:val="24"/>
        </w:rPr>
        <w:t xml:space="preserve">, </w:t>
      </w:r>
      <w:r w:rsidRPr="005D5B6B">
        <w:rPr>
          <w:rFonts w:cs="Arial"/>
          <w:i/>
          <w:iCs/>
          <w:noProof/>
          <w:szCs w:val="24"/>
        </w:rPr>
        <w:t>335</w:t>
      </w:r>
      <w:r w:rsidRPr="005D5B6B">
        <w:rPr>
          <w:rFonts w:cs="Arial"/>
          <w:noProof/>
          <w:szCs w:val="24"/>
        </w:rPr>
        <w:t>(June), 111190. https://doi.org/10.1016/j.jfoodeng.2022.111190</w:t>
      </w:r>
    </w:p>
    <w:p w14:paraId="195B2737"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Ruelas-Chacon, X., Contreras-Esquivel, J. C., Montañez, J., Aguilera-Carbo, A. F., Reyes-Vega, M. L., Peralta-Rodriguez, R. D., &amp; Sanchéz-Brambila, G. (2017). Guar gum as an edible coating for enhancing shelf-life and improving postharvest quality of roma tomato (Solanum lycopersicum L.). </w:t>
      </w:r>
      <w:r w:rsidRPr="005D5B6B">
        <w:rPr>
          <w:rFonts w:cs="Arial"/>
          <w:i/>
          <w:iCs/>
          <w:noProof/>
          <w:szCs w:val="24"/>
        </w:rPr>
        <w:t>Journal of Food Quality</w:t>
      </w:r>
      <w:r w:rsidRPr="005D5B6B">
        <w:rPr>
          <w:rFonts w:cs="Arial"/>
          <w:noProof/>
          <w:szCs w:val="24"/>
        </w:rPr>
        <w:t xml:space="preserve">, </w:t>
      </w:r>
      <w:r w:rsidRPr="005D5B6B">
        <w:rPr>
          <w:rFonts w:cs="Arial"/>
          <w:i/>
          <w:iCs/>
          <w:noProof/>
          <w:szCs w:val="24"/>
        </w:rPr>
        <w:t>2017</w:t>
      </w:r>
      <w:r w:rsidRPr="005D5B6B">
        <w:rPr>
          <w:rFonts w:cs="Arial"/>
          <w:noProof/>
          <w:szCs w:val="24"/>
        </w:rPr>
        <w:t>. https://doi.org/10.1155/2017/8608304</w:t>
      </w:r>
    </w:p>
    <w:p w14:paraId="58FC2838"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Torrieri, E., Perone, N., Cavella, S., &amp; Masi, P. (2010). Modelling the respiration rate of minimally processed broccoli (Brassica rapa var. sylvestris) for modified atmosphere package design. </w:t>
      </w:r>
      <w:r w:rsidRPr="005D5B6B">
        <w:rPr>
          <w:rFonts w:cs="Arial"/>
          <w:i/>
          <w:iCs/>
          <w:noProof/>
          <w:szCs w:val="24"/>
        </w:rPr>
        <w:t>International Journal of Food Science and Technology</w:t>
      </w:r>
      <w:r w:rsidRPr="005D5B6B">
        <w:rPr>
          <w:rFonts w:cs="Arial"/>
          <w:noProof/>
          <w:szCs w:val="24"/>
        </w:rPr>
        <w:t xml:space="preserve">, </w:t>
      </w:r>
      <w:r w:rsidRPr="005D5B6B">
        <w:rPr>
          <w:rFonts w:cs="Arial"/>
          <w:i/>
          <w:iCs/>
          <w:noProof/>
          <w:szCs w:val="24"/>
        </w:rPr>
        <w:t>45</w:t>
      </w:r>
      <w:r w:rsidRPr="005D5B6B">
        <w:rPr>
          <w:rFonts w:cs="Arial"/>
          <w:noProof/>
          <w:szCs w:val="24"/>
        </w:rPr>
        <w:t>(10), 2186–2193. https://doi.org/10.1111/j.1365-2621.2010.02387.x</w:t>
      </w:r>
    </w:p>
    <w:p w14:paraId="5C9FD1DF"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Valentino, M., Volpe, S., Di Giuseppe, F. A., Cavella, S., &amp; Torrieri, E. (2020). Active biopolymer coating based on sodium caseinate: Physical characterization and antioxidant activity. </w:t>
      </w:r>
      <w:r w:rsidRPr="005D5B6B">
        <w:rPr>
          <w:rFonts w:cs="Arial"/>
          <w:i/>
          <w:iCs/>
          <w:noProof/>
          <w:szCs w:val="24"/>
        </w:rPr>
        <w:t>Coatings</w:t>
      </w:r>
      <w:r w:rsidRPr="005D5B6B">
        <w:rPr>
          <w:rFonts w:cs="Arial"/>
          <w:noProof/>
          <w:szCs w:val="24"/>
        </w:rPr>
        <w:t xml:space="preserve">, </w:t>
      </w:r>
      <w:r w:rsidRPr="005D5B6B">
        <w:rPr>
          <w:rFonts w:cs="Arial"/>
          <w:i/>
          <w:iCs/>
          <w:noProof/>
          <w:szCs w:val="24"/>
        </w:rPr>
        <w:t>10</w:t>
      </w:r>
      <w:r w:rsidRPr="005D5B6B">
        <w:rPr>
          <w:rFonts w:cs="Arial"/>
          <w:noProof/>
          <w:szCs w:val="24"/>
        </w:rPr>
        <w:t>(8). https://doi.org/10.3390/COATINGS10080706</w:t>
      </w:r>
    </w:p>
    <w:p w14:paraId="7A433691"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Volpe, S., Cavella, S., Masi, P., &amp; Torrieri, E. (2017). Effect of solid concentration on structure and properties of chitosan-caseinate blend films. </w:t>
      </w:r>
      <w:r w:rsidRPr="005D5B6B">
        <w:rPr>
          <w:rFonts w:cs="Arial"/>
          <w:i/>
          <w:iCs/>
          <w:noProof/>
          <w:szCs w:val="24"/>
        </w:rPr>
        <w:t>Food Packaging and Shelf Life</w:t>
      </w:r>
      <w:r w:rsidRPr="005D5B6B">
        <w:rPr>
          <w:rFonts w:cs="Arial"/>
          <w:noProof/>
          <w:szCs w:val="24"/>
        </w:rPr>
        <w:t xml:space="preserve">, </w:t>
      </w:r>
      <w:r w:rsidRPr="005D5B6B">
        <w:rPr>
          <w:rFonts w:cs="Arial"/>
          <w:i/>
          <w:iCs/>
          <w:noProof/>
          <w:szCs w:val="24"/>
        </w:rPr>
        <w:t>13</w:t>
      </w:r>
      <w:r w:rsidRPr="005D5B6B">
        <w:rPr>
          <w:rFonts w:cs="Arial"/>
          <w:noProof/>
          <w:szCs w:val="24"/>
        </w:rPr>
        <w:t>(March), 76–84. https://doi.org/10.1016/j.fpsl.2017.07.002</w:t>
      </w:r>
    </w:p>
    <w:p w14:paraId="7F9161B7"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Volpe, S., Cavella, S., &amp; Torrieri, E. (2017). </w:t>
      </w:r>
      <w:r w:rsidRPr="005D5B6B">
        <w:rPr>
          <w:rFonts w:cs="Arial"/>
          <w:i/>
          <w:iCs/>
          <w:noProof/>
          <w:szCs w:val="24"/>
        </w:rPr>
        <w:t>EFFECT OF CHITOSAN-CASEINATE COATING ON THE SHELF LIFE OF MINIMALLY PROCESSED APPLES INTRODUCTION Acknowledgments prin</w:t>
      </w:r>
      <w:r w:rsidRPr="005D5B6B">
        <w:rPr>
          <w:rFonts w:cs="Arial"/>
          <w:noProof/>
          <w:szCs w:val="24"/>
        </w:rPr>
        <w:t>. 2017.</w:t>
      </w:r>
    </w:p>
    <w:p w14:paraId="075EB23A"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Volpe, S., Torrieri, E., &amp; Cavella, S. (2018). Use of chitosan and chitosan-caseinate coating to prolong shelf life of minimally processed apples. </w:t>
      </w:r>
      <w:r w:rsidRPr="005D5B6B">
        <w:rPr>
          <w:rFonts w:cs="Arial"/>
          <w:i/>
          <w:iCs/>
          <w:noProof/>
          <w:szCs w:val="24"/>
        </w:rPr>
        <w:t>Italian Journal of Food Science</w:t>
      </w:r>
      <w:r w:rsidRPr="005D5B6B">
        <w:rPr>
          <w:rFonts w:cs="Arial"/>
          <w:noProof/>
          <w:szCs w:val="24"/>
        </w:rPr>
        <w:t xml:space="preserve">, </w:t>
      </w:r>
      <w:r w:rsidRPr="005D5B6B">
        <w:rPr>
          <w:rFonts w:cs="Arial"/>
          <w:i/>
          <w:iCs/>
          <w:noProof/>
          <w:szCs w:val="24"/>
        </w:rPr>
        <w:t>30</w:t>
      </w:r>
      <w:r w:rsidRPr="005D5B6B">
        <w:rPr>
          <w:rFonts w:cs="Arial"/>
          <w:noProof/>
          <w:szCs w:val="24"/>
        </w:rPr>
        <w:t>(5), 30–35.</w:t>
      </w:r>
    </w:p>
    <w:p w14:paraId="56E82194" w14:textId="77777777" w:rsidR="005D5B6B" w:rsidRPr="005D5B6B" w:rsidRDefault="005D5B6B" w:rsidP="005D5B6B">
      <w:pPr>
        <w:widowControl w:val="0"/>
        <w:autoSpaceDE w:val="0"/>
        <w:autoSpaceDN w:val="0"/>
        <w:adjustRightInd w:val="0"/>
        <w:spacing w:line="240" w:lineRule="auto"/>
        <w:ind w:left="480" w:hanging="480"/>
        <w:rPr>
          <w:rFonts w:cs="Arial"/>
          <w:noProof/>
          <w:szCs w:val="24"/>
        </w:rPr>
      </w:pPr>
      <w:r w:rsidRPr="005D5B6B">
        <w:rPr>
          <w:rFonts w:cs="Arial"/>
          <w:noProof/>
          <w:szCs w:val="24"/>
        </w:rPr>
        <w:t xml:space="preserve">Yahia, E. M. (2009). </w:t>
      </w:r>
      <w:r w:rsidRPr="005D5B6B">
        <w:rPr>
          <w:rFonts w:cs="Arial"/>
          <w:i/>
          <w:iCs/>
          <w:noProof/>
          <w:szCs w:val="24"/>
        </w:rPr>
        <w:t>1.1 Introduction</w:t>
      </w:r>
      <w:r w:rsidRPr="005D5B6B">
        <w:rPr>
          <w:rFonts w:cs="Arial"/>
          <w:noProof/>
          <w:szCs w:val="24"/>
        </w:rPr>
        <w:t>.</w:t>
      </w:r>
    </w:p>
    <w:p w14:paraId="5E2B2C38" w14:textId="0927EC0A" w:rsidR="000139D0" w:rsidRDefault="005D5B6B" w:rsidP="002B4441">
      <w:pPr>
        <w:widowControl w:val="0"/>
        <w:autoSpaceDE w:val="0"/>
        <w:autoSpaceDN w:val="0"/>
        <w:adjustRightInd w:val="0"/>
        <w:spacing w:line="240" w:lineRule="auto"/>
        <w:ind w:left="480" w:hanging="480"/>
      </w:pPr>
      <w:r w:rsidRPr="005D5B6B">
        <w:rPr>
          <w:rFonts w:cs="Arial"/>
          <w:noProof/>
          <w:szCs w:val="24"/>
        </w:rPr>
        <w:t xml:space="preserve">Zhao, Y. M., Patange, A., Sun, D. W., &amp; Tiwari, B. (2020). Plasma-activated water: Physicochemical properties, microbial inactivation mechanisms, factors influencing antimicrobial effectiveness, and applications in the food industry. </w:t>
      </w:r>
      <w:r w:rsidRPr="005D5B6B">
        <w:rPr>
          <w:rFonts w:cs="Arial"/>
          <w:i/>
          <w:iCs/>
          <w:noProof/>
          <w:szCs w:val="24"/>
        </w:rPr>
        <w:t>Comprehensive Reviews in Food Science and Food Safety</w:t>
      </w:r>
      <w:r w:rsidRPr="005D5B6B">
        <w:rPr>
          <w:rFonts w:cs="Arial"/>
          <w:noProof/>
          <w:szCs w:val="24"/>
        </w:rPr>
        <w:t xml:space="preserve">, </w:t>
      </w:r>
      <w:r w:rsidRPr="005D5B6B">
        <w:rPr>
          <w:rFonts w:cs="Arial"/>
          <w:i/>
          <w:iCs/>
          <w:noProof/>
          <w:szCs w:val="24"/>
        </w:rPr>
        <w:t>19</w:t>
      </w:r>
      <w:r w:rsidRPr="005D5B6B">
        <w:rPr>
          <w:rFonts w:cs="Arial"/>
          <w:noProof/>
          <w:szCs w:val="24"/>
        </w:rPr>
        <w:t>(6), 3951–3979. https://doi.org/10.1111/1541-4337.12644</w:t>
      </w:r>
      <w:r w:rsidR="000139D0">
        <w:fldChar w:fldCharType="end"/>
      </w:r>
    </w:p>
    <w:sectPr w:rsidR="000139D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9BAE" w14:textId="77777777" w:rsidR="0014180F" w:rsidRDefault="0014180F" w:rsidP="004F5E36">
      <w:r>
        <w:separator/>
      </w:r>
    </w:p>
  </w:endnote>
  <w:endnote w:type="continuationSeparator" w:id="0">
    <w:p w14:paraId="488F5FB6" w14:textId="77777777" w:rsidR="0014180F" w:rsidRDefault="0014180F" w:rsidP="004F5E36">
      <w:r>
        <w:continuationSeparator/>
      </w:r>
    </w:p>
  </w:endnote>
  <w:endnote w:type="continuationNotice" w:id="1">
    <w:p w14:paraId="20D3FA03" w14:textId="77777777" w:rsidR="0014180F" w:rsidRDefault="001418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176A5" w14:textId="77777777" w:rsidR="0014180F" w:rsidRDefault="0014180F" w:rsidP="004F5E36">
      <w:r>
        <w:separator/>
      </w:r>
    </w:p>
  </w:footnote>
  <w:footnote w:type="continuationSeparator" w:id="0">
    <w:p w14:paraId="75873EE6" w14:textId="77777777" w:rsidR="0014180F" w:rsidRDefault="0014180F" w:rsidP="004F5E36">
      <w:r>
        <w:continuationSeparator/>
      </w:r>
    </w:p>
  </w:footnote>
  <w:footnote w:type="continuationNotice" w:id="1">
    <w:p w14:paraId="6838D688" w14:textId="77777777" w:rsidR="0014180F" w:rsidRDefault="0014180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D270CC8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645843"/>
    <w:multiLevelType w:val="hybridMultilevel"/>
    <w:tmpl w:val="8E7A4002"/>
    <w:lvl w:ilvl="0" w:tplc="FFC6E7E8">
      <w:start w:val="1"/>
      <w:numFmt w:val="bullet"/>
      <w:lvlText w:val=""/>
      <w:lvlJc w:val="left"/>
      <w:pPr>
        <w:ind w:left="720" w:hanging="360"/>
      </w:pPr>
      <w:rPr>
        <w:rFonts w:ascii="Symbol" w:hAnsi="Symbol"/>
      </w:rPr>
    </w:lvl>
    <w:lvl w:ilvl="1" w:tplc="50B6E2B2">
      <w:start w:val="1"/>
      <w:numFmt w:val="bullet"/>
      <w:lvlText w:val=""/>
      <w:lvlJc w:val="left"/>
      <w:pPr>
        <w:ind w:left="720" w:hanging="360"/>
      </w:pPr>
      <w:rPr>
        <w:rFonts w:ascii="Symbol" w:hAnsi="Symbol"/>
      </w:rPr>
    </w:lvl>
    <w:lvl w:ilvl="2" w:tplc="4532E71E">
      <w:start w:val="1"/>
      <w:numFmt w:val="bullet"/>
      <w:lvlText w:val=""/>
      <w:lvlJc w:val="left"/>
      <w:pPr>
        <w:ind w:left="720" w:hanging="360"/>
      </w:pPr>
      <w:rPr>
        <w:rFonts w:ascii="Symbol" w:hAnsi="Symbol"/>
      </w:rPr>
    </w:lvl>
    <w:lvl w:ilvl="3" w:tplc="01C2D96E">
      <w:start w:val="1"/>
      <w:numFmt w:val="bullet"/>
      <w:lvlText w:val=""/>
      <w:lvlJc w:val="left"/>
      <w:pPr>
        <w:ind w:left="720" w:hanging="360"/>
      </w:pPr>
      <w:rPr>
        <w:rFonts w:ascii="Symbol" w:hAnsi="Symbol"/>
      </w:rPr>
    </w:lvl>
    <w:lvl w:ilvl="4" w:tplc="08E81CC4">
      <w:start w:val="1"/>
      <w:numFmt w:val="bullet"/>
      <w:lvlText w:val=""/>
      <w:lvlJc w:val="left"/>
      <w:pPr>
        <w:ind w:left="720" w:hanging="360"/>
      </w:pPr>
      <w:rPr>
        <w:rFonts w:ascii="Symbol" w:hAnsi="Symbol"/>
      </w:rPr>
    </w:lvl>
    <w:lvl w:ilvl="5" w:tplc="E216101E">
      <w:start w:val="1"/>
      <w:numFmt w:val="bullet"/>
      <w:lvlText w:val=""/>
      <w:lvlJc w:val="left"/>
      <w:pPr>
        <w:ind w:left="720" w:hanging="360"/>
      </w:pPr>
      <w:rPr>
        <w:rFonts w:ascii="Symbol" w:hAnsi="Symbol"/>
      </w:rPr>
    </w:lvl>
    <w:lvl w:ilvl="6" w:tplc="9FF62332">
      <w:start w:val="1"/>
      <w:numFmt w:val="bullet"/>
      <w:lvlText w:val=""/>
      <w:lvlJc w:val="left"/>
      <w:pPr>
        <w:ind w:left="720" w:hanging="360"/>
      </w:pPr>
      <w:rPr>
        <w:rFonts w:ascii="Symbol" w:hAnsi="Symbol"/>
      </w:rPr>
    </w:lvl>
    <w:lvl w:ilvl="7" w:tplc="A308FE9E">
      <w:start w:val="1"/>
      <w:numFmt w:val="bullet"/>
      <w:lvlText w:val=""/>
      <w:lvlJc w:val="left"/>
      <w:pPr>
        <w:ind w:left="720" w:hanging="360"/>
      </w:pPr>
      <w:rPr>
        <w:rFonts w:ascii="Symbol" w:hAnsi="Symbol"/>
      </w:rPr>
    </w:lvl>
    <w:lvl w:ilvl="8" w:tplc="8F869532">
      <w:start w:val="1"/>
      <w:numFmt w:val="bullet"/>
      <w:lvlText w:val=""/>
      <w:lvlJc w:val="left"/>
      <w:pPr>
        <w:ind w:left="720" w:hanging="360"/>
      </w:pPr>
      <w:rPr>
        <w:rFonts w:ascii="Symbol" w:hAnsi="Symbol"/>
      </w:rPr>
    </w:lvl>
  </w:abstractNum>
  <w:abstractNum w:abstractNumId="22" w15:restartNumberingAfterBreak="0">
    <w:nsid w:val="770C5E62"/>
    <w:multiLevelType w:val="hybridMultilevel"/>
    <w:tmpl w:val="3B5215D0"/>
    <w:lvl w:ilvl="0" w:tplc="4182948E">
      <w:start w:val="1"/>
      <w:numFmt w:val="bullet"/>
      <w:lvlText w:val=""/>
      <w:lvlJc w:val="left"/>
      <w:pPr>
        <w:ind w:left="1060" w:hanging="360"/>
      </w:pPr>
      <w:rPr>
        <w:rFonts w:ascii="Symbol" w:hAnsi="Symbol"/>
      </w:rPr>
    </w:lvl>
    <w:lvl w:ilvl="1" w:tplc="84F09498">
      <w:start w:val="1"/>
      <w:numFmt w:val="bullet"/>
      <w:lvlText w:val=""/>
      <w:lvlJc w:val="left"/>
      <w:pPr>
        <w:ind w:left="1060" w:hanging="360"/>
      </w:pPr>
      <w:rPr>
        <w:rFonts w:ascii="Symbol" w:hAnsi="Symbol"/>
      </w:rPr>
    </w:lvl>
    <w:lvl w:ilvl="2" w:tplc="19A41AFE">
      <w:start w:val="1"/>
      <w:numFmt w:val="bullet"/>
      <w:lvlText w:val=""/>
      <w:lvlJc w:val="left"/>
      <w:pPr>
        <w:ind w:left="1060" w:hanging="360"/>
      </w:pPr>
      <w:rPr>
        <w:rFonts w:ascii="Symbol" w:hAnsi="Symbol"/>
      </w:rPr>
    </w:lvl>
    <w:lvl w:ilvl="3" w:tplc="C2445A20">
      <w:start w:val="1"/>
      <w:numFmt w:val="bullet"/>
      <w:lvlText w:val=""/>
      <w:lvlJc w:val="left"/>
      <w:pPr>
        <w:ind w:left="1060" w:hanging="360"/>
      </w:pPr>
      <w:rPr>
        <w:rFonts w:ascii="Symbol" w:hAnsi="Symbol"/>
      </w:rPr>
    </w:lvl>
    <w:lvl w:ilvl="4" w:tplc="EF100258">
      <w:start w:val="1"/>
      <w:numFmt w:val="bullet"/>
      <w:lvlText w:val=""/>
      <w:lvlJc w:val="left"/>
      <w:pPr>
        <w:ind w:left="1060" w:hanging="360"/>
      </w:pPr>
      <w:rPr>
        <w:rFonts w:ascii="Symbol" w:hAnsi="Symbol"/>
      </w:rPr>
    </w:lvl>
    <w:lvl w:ilvl="5" w:tplc="28A81456">
      <w:start w:val="1"/>
      <w:numFmt w:val="bullet"/>
      <w:lvlText w:val=""/>
      <w:lvlJc w:val="left"/>
      <w:pPr>
        <w:ind w:left="1060" w:hanging="360"/>
      </w:pPr>
      <w:rPr>
        <w:rFonts w:ascii="Symbol" w:hAnsi="Symbol"/>
      </w:rPr>
    </w:lvl>
    <w:lvl w:ilvl="6" w:tplc="75AA9760">
      <w:start w:val="1"/>
      <w:numFmt w:val="bullet"/>
      <w:lvlText w:val=""/>
      <w:lvlJc w:val="left"/>
      <w:pPr>
        <w:ind w:left="1060" w:hanging="360"/>
      </w:pPr>
      <w:rPr>
        <w:rFonts w:ascii="Symbol" w:hAnsi="Symbol"/>
      </w:rPr>
    </w:lvl>
    <w:lvl w:ilvl="7" w:tplc="B4DABE84">
      <w:start w:val="1"/>
      <w:numFmt w:val="bullet"/>
      <w:lvlText w:val=""/>
      <w:lvlJc w:val="left"/>
      <w:pPr>
        <w:ind w:left="1060" w:hanging="360"/>
      </w:pPr>
      <w:rPr>
        <w:rFonts w:ascii="Symbol" w:hAnsi="Symbol"/>
      </w:rPr>
    </w:lvl>
    <w:lvl w:ilvl="8" w:tplc="7E7A82FC">
      <w:start w:val="1"/>
      <w:numFmt w:val="bullet"/>
      <w:lvlText w:val=""/>
      <w:lvlJc w:val="left"/>
      <w:pPr>
        <w:ind w:left="1060" w:hanging="360"/>
      </w:pPr>
      <w:rPr>
        <w:rFonts w:ascii="Symbol" w:hAnsi="Symbol"/>
      </w:rPr>
    </w:lvl>
  </w:abstractNum>
  <w:num w:numId="1" w16cid:durableId="1316882765">
    <w:abstractNumId w:val="10"/>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7"/>
  </w:num>
  <w:num w:numId="13" w16cid:durableId="695733619">
    <w:abstractNumId w:val="12"/>
  </w:num>
  <w:num w:numId="14" w16cid:durableId="145903400">
    <w:abstractNumId w:val="18"/>
  </w:num>
  <w:num w:numId="15" w16cid:durableId="19162326">
    <w:abstractNumId w:val="20"/>
  </w:num>
  <w:num w:numId="16" w16cid:durableId="1977102699">
    <w:abstractNumId w:val="19"/>
  </w:num>
  <w:num w:numId="17" w16cid:durableId="860774865">
    <w:abstractNumId w:val="11"/>
  </w:num>
  <w:num w:numId="18" w16cid:durableId="313221457">
    <w:abstractNumId w:val="12"/>
    <w:lvlOverride w:ilvl="0">
      <w:startOverride w:val="1"/>
    </w:lvlOverride>
  </w:num>
  <w:num w:numId="19" w16cid:durableId="534971577">
    <w:abstractNumId w:val="16"/>
  </w:num>
  <w:num w:numId="20" w16cid:durableId="1150947773">
    <w:abstractNumId w:val="15"/>
  </w:num>
  <w:num w:numId="21" w16cid:durableId="124660497">
    <w:abstractNumId w:val="14"/>
  </w:num>
  <w:num w:numId="22" w16cid:durableId="2099861471">
    <w:abstractNumId w:val="13"/>
  </w:num>
  <w:num w:numId="23" w16cid:durableId="1066344830">
    <w:abstractNumId w:val="22"/>
  </w:num>
  <w:num w:numId="24" w16cid:durableId="429919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4E8"/>
    <w:rsid w:val="00000F5F"/>
    <w:rsid w:val="000027C0"/>
    <w:rsid w:val="00003CD9"/>
    <w:rsid w:val="00004556"/>
    <w:rsid w:val="00004BE5"/>
    <w:rsid w:val="000052FB"/>
    <w:rsid w:val="000117CB"/>
    <w:rsid w:val="000139D0"/>
    <w:rsid w:val="00015E7A"/>
    <w:rsid w:val="00016320"/>
    <w:rsid w:val="00027F97"/>
    <w:rsid w:val="0003148D"/>
    <w:rsid w:val="00031EEC"/>
    <w:rsid w:val="00040C38"/>
    <w:rsid w:val="0004156A"/>
    <w:rsid w:val="00051566"/>
    <w:rsid w:val="000525FE"/>
    <w:rsid w:val="000538D4"/>
    <w:rsid w:val="00054A5D"/>
    <w:rsid w:val="000562A9"/>
    <w:rsid w:val="0005643F"/>
    <w:rsid w:val="00060EED"/>
    <w:rsid w:val="00061F81"/>
    <w:rsid w:val="00062A9A"/>
    <w:rsid w:val="00065058"/>
    <w:rsid w:val="000663AF"/>
    <w:rsid w:val="0007052C"/>
    <w:rsid w:val="000717A8"/>
    <w:rsid w:val="0007283B"/>
    <w:rsid w:val="000754C4"/>
    <w:rsid w:val="000772A7"/>
    <w:rsid w:val="00086C39"/>
    <w:rsid w:val="00093D14"/>
    <w:rsid w:val="000A03B2"/>
    <w:rsid w:val="000A2429"/>
    <w:rsid w:val="000A3A13"/>
    <w:rsid w:val="000B0E08"/>
    <w:rsid w:val="000B3C41"/>
    <w:rsid w:val="000B4A61"/>
    <w:rsid w:val="000C4DEF"/>
    <w:rsid w:val="000C62DB"/>
    <w:rsid w:val="000D0268"/>
    <w:rsid w:val="000D34BE"/>
    <w:rsid w:val="000D5062"/>
    <w:rsid w:val="000D5B21"/>
    <w:rsid w:val="000D71FE"/>
    <w:rsid w:val="000E102F"/>
    <w:rsid w:val="000E36F1"/>
    <w:rsid w:val="000E3A73"/>
    <w:rsid w:val="000E414A"/>
    <w:rsid w:val="000E5844"/>
    <w:rsid w:val="000F093C"/>
    <w:rsid w:val="000F3FB0"/>
    <w:rsid w:val="000F4E1F"/>
    <w:rsid w:val="000F6662"/>
    <w:rsid w:val="000F787B"/>
    <w:rsid w:val="001004D8"/>
    <w:rsid w:val="00100714"/>
    <w:rsid w:val="00100D05"/>
    <w:rsid w:val="001067EF"/>
    <w:rsid w:val="001078E4"/>
    <w:rsid w:val="0011067B"/>
    <w:rsid w:val="001123CA"/>
    <w:rsid w:val="0012091F"/>
    <w:rsid w:val="00121062"/>
    <w:rsid w:val="00121C68"/>
    <w:rsid w:val="001257B2"/>
    <w:rsid w:val="00126BC2"/>
    <w:rsid w:val="001308B6"/>
    <w:rsid w:val="00130BFD"/>
    <w:rsid w:val="0013121F"/>
    <w:rsid w:val="00131FE6"/>
    <w:rsid w:val="0013263F"/>
    <w:rsid w:val="001331DF"/>
    <w:rsid w:val="00134C89"/>
    <w:rsid w:val="00134DE4"/>
    <w:rsid w:val="0014034D"/>
    <w:rsid w:val="0014180F"/>
    <w:rsid w:val="00144D16"/>
    <w:rsid w:val="001450F3"/>
    <w:rsid w:val="00150E59"/>
    <w:rsid w:val="00152DE3"/>
    <w:rsid w:val="00155B77"/>
    <w:rsid w:val="00155E81"/>
    <w:rsid w:val="00164CF9"/>
    <w:rsid w:val="001667A6"/>
    <w:rsid w:val="00167B80"/>
    <w:rsid w:val="00176A90"/>
    <w:rsid w:val="00177D1B"/>
    <w:rsid w:val="00181FF9"/>
    <w:rsid w:val="00184AD6"/>
    <w:rsid w:val="0018702F"/>
    <w:rsid w:val="001A4AF7"/>
    <w:rsid w:val="001B0349"/>
    <w:rsid w:val="001B1E93"/>
    <w:rsid w:val="001B49AC"/>
    <w:rsid w:val="001B65C1"/>
    <w:rsid w:val="001B7138"/>
    <w:rsid w:val="001C5ABE"/>
    <w:rsid w:val="001C684B"/>
    <w:rsid w:val="001C6FF2"/>
    <w:rsid w:val="001D0CFB"/>
    <w:rsid w:val="001D21AF"/>
    <w:rsid w:val="001D53FC"/>
    <w:rsid w:val="001E1A68"/>
    <w:rsid w:val="001E3A0C"/>
    <w:rsid w:val="001F263C"/>
    <w:rsid w:val="001F42A5"/>
    <w:rsid w:val="001F7B9D"/>
    <w:rsid w:val="001F7CC4"/>
    <w:rsid w:val="00201C93"/>
    <w:rsid w:val="002034F1"/>
    <w:rsid w:val="00205B4C"/>
    <w:rsid w:val="00220C68"/>
    <w:rsid w:val="002224B4"/>
    <w:rsid w:val="002231B1"/>
    <w:rsid w:val="0022476D"/>
    <w:rsid w:val="00230317"/>
    <w:rsid w:val="00230D6C"/>
    <w:rsid w:val="002316F0"/>
    <w:rsid w:val="00240D69"/>
    <w:rsid w:val="0024118E"/>
    <w:rsid w:val="002447EF"/>
    <w:rsid w:val="00245E52"/>
    <w:rsid w:val="00251550"/>
    <w:rsid w:val="0025173C"/>
    <w:rsid w:val="0025486A"/>
    <w:rsid w:val="0026269F"/>
    <w:rsid w:val="00263B05"/>
    <w:rsid w:val="00263E8B"/>
    <w:rsid w:val="00267524"/>
    <w:rsid w:val="00267CCB"/>
    <w:rsid w:val="00270157"/>
    <w:rsid w:val="00270314"/>
    <w:rsid w:val="0027221A"/>
    <w:rsid w:val="002731C9"/>
    <w:rsid w:val="00275B61"/>
    <w:rsid w:val="00280FAF"/>
    <w:rsid w:val="00281AFF"/>
    <w:rsid w:val="00282444"/>
    <w:rsid w:val="00282656"/>
    <w:rsid w:val="002863D6"/>
    <w:rsid w:val="00296B83"/>
    <w:rsid w:val="002B4015"/>
    <w:rsid w:val="002B4441"/>
    <w:rsid w:val="002B5361"/>
    <w:rsid w:val="002B78CE"/>
    <w:rsid w:val="002C05C2"/>
    <w:rsid w:val="002C0ACE"/>
    <w:rsid w:val="002C2FB6"/>
    <w:rsid w:val="002D1374"/>
    <w:rsid w:val="002D1BF3"/>
    <w:rsid w:val="002D6E1E"/>
    <w:rsid w:val="002E5FA7"/>
    <w:rsid w:val="002F3309"/>
    <w:rsid w:val="002F5E6A"/>
    <w:rsid w:val="002F6A81"/>
    <w:rsid w:val="003008CE"/>
    <w:rsid w:val="003009B7"/>
    <w:rsid w:val="00300E56"/>
    <w:rsid w:val="00300EE9"/>
    <w:rsid w:val="0030152C"/>
    <w:rsid w:val="003032FE"/>
    <w:rsid w:val="0030469C"/>
    <w:rsid w:val="003139A8"/>
    <w:rsid w:val="00313DBB"/>
    <w:rsid w:val="003209EE"/>
    <w:rsid w:val="00321CA6"/>
    <w:rsid w:val="00323338"/>
    <w:rsid w:val="00323763"/>
    <w:rsid w:val="00323C5F"/>
    <w:rsid w:val="00325174"/>
    <w:rsid w:val="00334C09"/>
    <w:rsid w:val="003474DC"/>
    <w:rsid w:val="00347B72"/>
    <w:rsid w:val="00347E59"/>
    <w:rsid w:val="00353CB1"/>
    <w:rsid w:val="00357B6B"/>
    <w:rsid w:val="00357E55"/>
    <w:rsid w:val="00365081"/>
    <w:rsid w:val="00365903"/>
    <w:rsid w:val="00367176"/>
    <w:rsid w:val="00367D53"/>
    <w:rsid w:val="003723D4"/>
    <w:rsid w:val="003743BF"/>
    <w:rsid w:val="00375F9D"/>
    <w:rsid w:val="003815DB"/>
    <w:rsid w:val="00381905"/>
    <w:rsid w:val="00382201"/>
    <w:rsid w:val="00384CC8"/>
    <w:rsid w:val="003871FD"/>
    <w:rsid w:val="003979E2"/>
    <w:rsid w:val="003A006A"/>
    <w:rsid w:val="003A1E30"/>
    <w:rsid w:val="003A2829"/>
    <w:rsid w:val="003A6FC6"/>
    <w:rsid w:val="003A7D1C"/>
    <w:rsid w:val="003B12F4"/>
    <w:rsid w:val="003B304B"/>
    <w:rsid w:val="003B3146"/>
    <w:rsid w:val="003B6CB1"/>
    <w:rsid w:val="003C3BF0"/>
    <w:rsid w:val="003D4147"/>
    <w:rsid w:val="003D6758"/>
    <w:rsid w:val="003F015E"/>
    <w:rsid w:val="00400414"/>
    <w:rsid w:val="00403CEC"/>
    <w:rsid w:val="004062E8"/>
    <w:rsid w:val="00406BA3"/>
    <w:rsid w:val="0041446B"/>
    <w:rsid w:val="004220E8"/>
    <w:rsid w:val="00423377"/>
    <w:rsid w:val="00425653"/>
    <w:rsid w:val="00431E39"/>
    <w:rsid w:val="004333B4"/>
    <w:rsid w:val="00433E58"/>
    <w:rsid w:val="0044071E"/>
    <w:rsid w:val="0044329C"/>
    <w:rsid w:val="00443E55"/>
    <w:rsid w:val="00445F2F"/>
    <w:rsid w:val="0045267F"/>
    <w:rsid w:val="00453E24"/>
    <w:rsid w:val="00457456"/>
    <w:rsid w:val="004577FE"/>
    <w:rsid w:val="00457B9C"/>
    <w:rsid w:val="0046164A"/>
    <w:rsid w:val="00462314"/>
    <w:rsid w:val="004628D2"/>
    <w:rsid w:val="00462DCD"/>
    <w:rsid w:val="00462E51"/>
    <w:rsid w:val="0046425E"/>
    <w:rsid w:val="004648AD"/>
    <w:rsid w:val="00467888"/>
    <w:rsid w:val="004703A9"/>
    <w:rsid w:val="00471405"/>
    <w:rsid w:val="004760DE"/>
    <w:rsid w:val="004763D7"/>
    <w:rsid w:val="00491623"/>
    <w:rsid w:val="00497C52"/>
    <w:rsid w:val="004A004E"/>
    <w:rsid w:val="004A0F6C"/>
    <w:rsid w:val="004A18CF"/>
    <w:rsid w:val="004A24CF"/>
    <w:rsid w:val="004A3EC4"/>
    <w:rsid w:val="004A5C13"/>
    <w:rsid w:val="004A749A"/>
    <w:rsid w:val="004B0B53"/>
    <w:rsid w:val="004B7AFB"/>
    <w:rsid w:val="004C1B6D"/>
    <w:rsid w:val="004C2A0E"/>
    <w:rsid w:val="004C3D1D"/>
    <w:rsid w:val="004C3D84"/>
    <w:rsid w:val="004C7913"/>
    <w:rsid w:val="004C79C8"/>
    <w:rsid w:val="004C7AB8"/>
    <w:rsid w:val="004E4DD6"/>
    <w:rsid w:val="004F1F95"/>
    <w:rsid w:val="004F342C"/>
    <w:rsid w:val="004F3A90"/>
    <w:rsid w:val="004F4204"/>
    <w:rsid w:val="004F5E36"/>
    <w:rsid w:val="004F66C7"/>
    <w:rsid w:val="004F735D"/>
    <w:rsid w:val="00507B47"/>
    <w:rsid w:val="00507BEF"/>
    <w:rsid w:val="00507CC9"/>
    <w:rsid w:val="005119A5"/>
    <w:rsid w:val="00514C72"/>
    <w:rsid w:val="00516AAC"/>
    <w:rsid w:val="00516B00"/>
    <w:rsid w:val="00521A37"/>
    <w:rsid w:val="0052277A"/>
    <w:rsid w:val="005251CB"/>
    <w:rsid w:val="005278B7"/>
    <w:rsid w:val="0053103F"/>
    <w:rsid w:val="00532016"/>
    <w:rsid w:val="00532C11"/>
    <w:rsid w:val="005346C8"/>
    <w:rsid w:val="00537172"/>
    <w:rsid w:val="00537419"/>
    <w:rsid w:val="00537753"/>
    <w:rsid w:val="00540F66"/>
    <w:rsid w:val="00543E7D"/>
    <w:rsid w:val="00543EE3"/>
    <w:rsid w:val="0054507A"/>
    <w:rsid w:val="005450E5"/>
    <w:rsid w:val="00545A3D"/>
    <w:rsid w:val="00547A68"/>
    <w:rsid w:val="005502A8"/>
    <w:rsid w:val="00552B5A"/>
    <w:rsid w:val="005531C9"/>
    <w:rsid w:val="005612EA"/>
    <w:rsid w:val="005644BD"/>
    <w:rsid w:val="00570C43"/>
    <w:rsid w:val="00583FEC"/>
    <w:rsid w:val="00593978"/>
    <w:rsid w:val="00597D22"/>
    <w:rsid w:val="005A1CE2"/>
    <w:rsid w:val="005A1F50"/>
    <w:rsid w:val="005B2110"/>
    <w:rsid w:val="005B286E"/>
    <w:rsid w:val="005B61E6"/>
    <w:rsid w:val="005C77E1"/>
    <w:rsid w:val="005D1EAB"/>
    <w:rsid w:val="005D2D59"/>
    <w:rsid w:val="005D5B6B"/>
    <w:rsid w:val="005D668A"/>
    <w:rsid w:val="005D6A2F"/>
    <w:rsid w:val="005E1A82"/>
    <w:rsid w:val="005E228E"/>
    <w:rsid w:val="005E4F39"/>
    <w:rsid w:val="005E5680"/>
    <w:rsid w:val="005E794C"/>
    <w:rsid w:val="005F0A28"/>
    <w:rsid w:val="005F0E5E"/>
    <w:rsid w:val="005F4FF7"/>
    <w:rsid w:val="005F5D73"/>
    <w:rsid w:val="005F5E3B"/>
    <w:rsid w:val="00600535"/>
    <w:rsid w:val="00600AA6"/>
    <w:rsid w:val="00605904"/>
    <w:rsid w:val="00610CD6"/>
    <w:rsid w:val="00612992"/>
    <w:rsid w:val="006139F6"/>
    <w:rsid w:val="00615ECB"/>
    <w:rsid w:val="00617892"/>
    <w:rsid w:val="00620DEE"/>
    <w:rsid w:val="0062148F"/>
    <w:rsid w:val="00621F92"/>
    <w:rsid w:val="0062280A"/>
    <w:rsid w:val="00625639"/>
    <w:rsid w:val="00631017"/>
    <w:rsid w:val="00631B33"/>
    <w:rsid w:val="0064184D"/>
    <w:rsid w:val="006422CC"/>
    <w:rsid w:val="00643ADA"/>
    <w:rsid w:val="006471F8"/>
    <w:rsid w:val="006502D8"/>
    <w:rsid w:val="00660E3E"/>
    <w:rsid w:val="00662E74"/>
    <w:rsid w:val="00667E24"/>
    <w:rsid w:val="00670C9E"/>
    <w:rsid w:val="00672306"/>
    <w:rsid w:val="006736AD"/>
    <w:rsid w:val="0067585E"/>
    <w:rsid w:val="006768F4"/>
    <w:rsid w:val="00680C23"/>
    <w:rsid w:val="00683741"/>
    <w:rsid w:val="00692A76"/>
    <w:rsid w:val="00693766"/>
    <w:rsid w:val="00693C91"/>
    <w:rsid w:val="00695A1F"/>
    <w:rsid w:val="006A0C94"/>
    <w:rsid w:val="006A1990"/>
    <w:rsid w:val="006A3281"/>
    <w:rsid w:val="006A50E9"/>
    <w:rsid w:val="006B0333"/>
    <w:rsid w:val="006B3AC7"/>
    <w:rsid w:val="006B4888"/>
    <w:rsid w:val="006C24B8"/>
    <w:rsid w:val="006C2E45"/>
    <w:rsid w:val="006C359C"/>
    <w:rsid w:val="006C5579"/>
    <w:rsid w:val="006D0D06"/>
    <w:rsid w:val="006D6E8B"/>
    <w:rsid w:val="006E12BB"/>
    <w:rsid w:val="006E1DAA"/>
    <w:rsid w:val="006E28A3"/>
    <w:rsid w:val="006E2BD8"/>
    <w:rsid w:val="006E2C52"/>
    <w:rsid w:val="006E4B56"/>
    <w:rsid w:val="006E737D"/>
    <w:rsid w:val="006F0A7F"/>
    <w:rsid w:val="006F19DA"/>
    <w:rsid w:val="007014B1"/>
    <w:rsid w:val="00702ED3"/>
    <w:rsid w:val="0070737B"/>
    <w:rsid w:val="007079CC"/>
    <w:rsid w:val="007102ED"/>
    <w:rsid w:val="00713973"/>
    <w:rsid w:val="00720A24"/>
    <w:rsid w:val="00732386"/>
    <w:rsid w:val="0073514D"/>
    <w:rsid w:val="007413D4"/>
    <w:rsid w:val="007447F3"/>
    <w:rsid w:val="00744A4A"/>
    <w:rsid w:val="00751BE3"/>
    <w:rsid w:val="00753785"/>
    <w:rsid w:val="0075499F"/>
    <w:rsid w:val="00760864"/>
    <w:rsid w:val="0076117C"/>
    <w:rsid w:val="00762C82"/>
    <w:rsid w:val="00764217"/>
    <w:rsid w:val="007661C8"/>
    <w:rsid w:val="007700AC"/>
    <w:rsid w:val="0077098D"/>
    <w:rsid w:val="0077193F"/>
    <w:rsid w:val="00775A8C"/>
    <w:rsid w:val="00787148"/>
    <w:rsid w:val="00790565"/>
    <w:rsid w:val="00790A7C"/>
    <w:rsid w:val="007931FA"/>
    <w:rsid w:val="00794AA5"/>
    <w:rsid w:val="00795B31"/>
    <w:rsid w:val="007A0030"/>
    <w:rsid w:val="007A4861"/>
    <w:rsid w:val="007A7BBA"/>
    <w:rsid w:val="007B0C50"/>
    <w:rsid w:val="007B48F9"/>
    <w:rsid w:val="007C1A43"/>
    <w:rsid w:val="007D0951"/>
    <w:rsid w:val="007D3E57"/>
    <w:rsid w:val="007E322C"/>
    <w:rsid w:val="007F3532"/>
    <w:rsid w:val="007F7B2E"/>
    <w:rsid w:val="0080013E"/>
    <w:rsid w:val="00812053"/>
    <w:rsid w:val="00813288"/>
    <w:rsid w:val="008168FC"/>
    <w:rsid w:val="00817BD1"/>
    <w:rsid w:val="00820FAA"/>
    <w:rsid w:val="00822ADC"/>
    <w:rsid w:val="00825C05"/>
    <w:rsid w:val="00825E82"/>
    <w:rsid w:val="00830996"/>
    <w:rsid w:val="0083153F"/>
    <w:rsid w:val="00831EF0"/>
    <w:rsid w:val="008345F1"/>
    <w:rsid w:val="0083715A"/>
    <w:rsid w:val="008417CA"/>
    <w:rsid w:val="00843199"/>
    <w:rsid w:val="008468B2"/>
    <w:rsid w:val="00847134"/>
    <w:rsid w:val="00852291"/>
    <w:rsid w:val="00855AAD"/>
    <w:rsid w:val="008564A9"/>
    <w:rsid w:val="00864439"/>
    <w:rsid w:val="00865B07"/>
    <w:rsid w:val="008667EA"/>
    <w:rsid w:val="008707CB"/>
    <w:rsid w:val="00871A37"/>
    <w:rsid w:val="0087637F"/>
    <w:rsid w:val="00876FE3"/>
    <w:rsid w:val="0087721F"/>
    <w:rsid w:val="00882CF2"/>
    <w:rsid w:val="008871FE"/>
    <w:rsid w:val="00887F62"/>
    <w:rsid w:val="008913FD"/>
    <w:rsid w:val="00892AD5"/>
    <w:rsid w:val="008A1512"/>
    <w:rsid w:val="008A6F5C"/>
    <w:rsid w:val="008B7C03"/>
    <w:rsid w:val="008C31CA"/>
    <w:rsid w:val="008D32B9"/>
    <w:rsid w:val="008D433B"/>
    <w:rsid w:val="008D4A16"/>
    <w:rsid w:val="008D63DB"/>
    <w:rsid w:val="008D7CD8"/>
    <w:rsid w:val="008E566E"/>
    <w:rsid w:val="008F6EF3"/>
    <w:rsid w:val="00901615"/>
    <w:rsid w:val="0090161A"/>
    <w:rsid w:val="00901EB6"/>
    <w:rsid w:val="00904105"/>
    <w:rsid w:val="00904418"/>
    <w:rsid w:val="00904C62"/>
    <w:rsid w:val="00904F58"/>
    <w:rsid w:val="00904FAD"/>
    <w:rsid w:val="00912D16"/>
    <w:rsid w:val="00913209"/>
    <w:rsid w:val="009162FF"/>
    <w:rsid w:val="00922BA8"/>
    <w:rsid w:val="00924674"/>
    <w:rsid w:val="00924DAC"/>
    <w:rsid w:val="00925110"/>
    <w:rsid w:val="00927058"/>
    <w:rsid w:val="00936D52"/>
    <w:rsid w:val="00942750"/>
    <w:rsid w:val="009450CE"/>
    <w:rsid w:val="009459BB"/>
    <w:rsid w:val="00947179"/>
    <w:rsid w:val="009471B8"/>
    <w:rsid w:val="0095164B"/>
    <w:rsid w:val="00954090"/>
    <w:rsid w:val="009573E7"/>
    <w:rsid w:val="00960C31"/>
    <w:rsid w:val="00961C03"/>
    <w:rsid w:val="00963E05"/>
    <w:rsid w:val="00964A45"/>
    <w:rsid w:val="00964BD1"/>
    <w:rsid w:val="00967843"/>
    <w:rsid w:val="00967D54"/>
    <w:rsid w:val="00971028"/>
    <w:rsid w:val="00971897"/>
    <w:rsid w:val="00972C9A"/>
    <w:rsid w:val="00973475"/>
    <w:rsid w:val="00977C68"/>
    <w:rsid w:val="009831E7"/>
    <w:rsid w:val="00987550"/>
    <w:rsid w:val="00992255"/>
    <w:rsid w:val="00993B84"/>
    <w:rsid w:val="009943A2"/>
    <w:rsid w:val="0099626C"/>
    <w:rsid w:val="00996483"/>
    <w:rsid w:val="00996F5A"/>
    <w:rsid w:val="009B041A"/>
    <w:rsid w:val="009B4306"/>
    <w:rsid w:val="009C37C3"/>
    <w:rsid w:val="009C50F2"/>
    <w:rsid w:val="009C7C86"/>
    <w:rsid w:val="009D2FF7"/>
    <w:rsid w:val="009D59F0"/>
    <w:rsid w:val="009D6D3B"/>
    <w:rsid w:val="009E7884"/>
    <w:rsid w:val="009E788A"/>
    <w:rsid w:val="009F0E08"/>
    <w:rsid w:val="009F196D"/>
    <w:rsid w:val="009F5E3E"/>
    <w:rsid w:val="00A03390"/>
    <w:rsid w:val="00A03889"/>
    <w:rsid w:val="00A06262"/>
    <w:rsid w:val="00A11240"/>
    <w:rsid w:val="00A1763D"/>
    <w:rsid w:val="00A17CEC"/>
    <w:rsid w:val="00A22F1C"/>
    <w:rsid w:val="00A27EF0"/>
    <w:rsid w:val="00A3544A"/>
    <w:rsid w:val="00A36498"/>
    <w:rsid w:val="00A36C3E"/>
    <w:rsid w:val="00A37566"/>
    <w:rsid w:val="00A4186C"/>
    <w:rsid w:val="00A42361"/>
    <w:rsid w:val="00A47013"/>
    <w:rsid w:val="00A50B20"/>
    <w:rsid w:val="00A51390"/>
    <w:rsid w:val="00A6048C"/>
    <w:rsid w:val="00A60D13"/>
    <w:rsid w:val="00A6332B"/>
    <w:rsid w:val="00A6670C"/>
    <w:rsid w:val="00A67F20"/>
    <w:rsid w:val="00A719FC"/>
    <w:rsid w:val="00A7223D"/>
    <w:rsid w:val="00A72745"/>
    <w:rsid w:val="00A76EFC"/>
    <w:rsid w:val="00A82516"/>
    <w:rsid w:val="00A857D9"/>
    <w:rsid w:val="00A86585"/>
    <w:rsid w:val="00A869F0"/>
    <w:rsid w:val="00A87D50"/>
    <w:rsid w:val="00A9019D"/>
    <w:rsid w:val="00A91010"/>
    <w:rsid w:val="00A93E4C"/>
    <w:rsid w:val="00A94546"/>
    <w:rsid w:val="00A97F29"/>
    <w:rsid w:val="00AA17E1"/>
    <w:rsid w:val="00AA382C"/>
    <w:rsid w:val="00AA702E"/>
    <w:rsid w:val="00AA7D26"/>
    <w:rsid w:val="00AB03EE"/>
    <w:rsid w:val="00AB0964"/>
    <w:rsid w:val="00AB245D"/>
    <w:rsid w:val="00AB5011"/>
    <w:rsid w:val="00AC18E8"/>
    <w:rsid w:val="00AC2DE0"/>
    <w:rsid w:val="00AC7368"/>
    <w:rsid w:val="00AD16B9"/>
    <w:rsid w:val="00AD2442"/>
    <w:rsid w:val="00AE377D"/>
    <w:rsid w:val="00AE44A0"/>
    <w:rsid w:val="00AE654D"/>
    <w:rsid w:val="00AF0EBA"/>
    <w:rsid w:val="00AF20FC"/>
    <w:rsid w:val="00AF2317"/>
    <w:rsid w:val="00B0085A"/>
    <w:rsid w:val="00B02C8A"/>
    <w:rsid w:val="00B102E5"/>
    <w:rsid w:val="00B12F11"/>
    <w:rsid w:val="00B136A6"/>
    <w:rsid w:val="00B1383E"/>
    <w:rsid w:val="00B17FBD"/>
    <w:rsid w:val="00B240E4"/>
    <w:rsid w:val="00B27BC3"/>
    <w:rsid w:val="00B30CFC"/>
    <w:rsid w:val="00B313C7"/>
    <w:rsid w:val="00B315A6"/>
    <w:rsid w:val="00B31813"/>
    <w:rsid w:val="00B33365"/>
    <w:rsid w:val="00B34BAB"/>
    <w:rsid w:val="00B40283"/>
    <w:rsid w:val="00B442BC"/>
    <w:rsid w:val="00B52749"/>
    <w:rsid w:val="00B5559D"/>
    <w:rsid w:val="00B5571A"/>
    <w:rsid w:val="00B57B36"/>
    <w:rsid w:val="00B57E6F"/>
    <w:rsid w:val="00B61FF8"/>
    <w:rsid w:val="00B72411"/>
    <w:rsid w:val="00B8686D"/>
    <w:rsid w:val="00B903F2"/>
    <w:rsid w:val="00B90441"/>
    <w:rsid w:val="00B91165"/>
    <w:rsid w:val="00B92C91"/>
    <w:rsid w:val="00B93F69"/>
    <w:rsid w:val="00B94440"/>
    <w:rsid w:val="00B966F8"/>
    <w:rsid w:val="00BA15A5"/>
    <w:rsid w:val="00BA8A5E"/>
    <w:rsid w:val="00BB0DCA"/>
    <w:rsid w:val="00BB126A"/>
    <w:rsid w:val="00BB1DDC"/>
    <w:rsid w:val="00BC30C9"/>
    <w:rsid w:val="00BC3BAE"/>
    <w:rsid w:val="00BC4AF6"/>
    <w:rsid w:val="00BD077D"/>
    <w:rsid w:val="00BD3C8F"/>
    <w:rsid w:val="00BD552D"/>
    <w:rsid w:val="00BE136F"/>
    <w:rsid w:val="00BE1BEB"/>
    <w:rsid w:val="00BE3E58"/>
    <w:rsid w:val="00BE51BB"/>
    <w:rsid w:val="00BE51EF"/>
    <w:rsid w:val="00BE6B3F"/>
    <w:rsid w:val="00BE78B4"/>
    <w:rsid w:val="00BF5561"/>
    <w:rsid w:val="00BF7A36"/>
    <w:rsid w:val="00C01616"/>
    <w:rsid w:val="00C0162B"/>
    <w:rsid w:val="00C068ED"/>
    <w:rsid w:val="00C07C5C"/>
    <w:rsid w:val="00C139D7"/>
    <w:rsid w:val="00C17F66"/>
    <w:rsid w:val="00C22E0C"/>
    <w:rsid w:val="00C2410F"/>
    <w:rsid w:val="00C241D7"/>
    <w:rsid w:val="00C2469A"/>
    <w:rsid w:val="00C265A5"/>
    <w:rsid w:val="00C26953"/>
    <w:rsid w:val="00C27571"/>
    <w:rsid w:val="00C27C80"/>
    <w:rsid w:val="00C3074E"/>
    <w:rsid w:val="00C31089"/>
    <w:rsid w:val="00C31B2F"/>
    <w:rsid w:val="00C31F53"/>
    <w:rsid w:val="00C345B1"/>
    <w:rsid w:val="00C40142"/>
    <w:rsid w:val="00C476E1"/>
    <w:rsid w:val="00C51AAB"/>
    <w:rsid w:val="00C52C3C"/>
    <w:rsid w:val="00C52F09"/>
    <w:rsid w:val="00C55164"/>
    <w:rsid w:val="00C57182"/>
    <w:rsid w:val="00C57863"/>
    <w:rsid w:val="00C640AF"/>
    <w:rsid w:val="00C655FD"/>
    <w:rsid w:val="00C65FDA"/>
    <w:rsid w:val="00C71155"/>
    <w:rsid w:val="00C717FB"/>
    <w:rsid w:val="00C72482"/>
    <w:rsid w:val="00C74E14"/>
    <w:rsid w:val="00C75407"/>
    <w:rsid w:val="00C75DBE"/>
    <w:rsid w:val="00C80535"/>
    <w:rsid w:val="00C8621C"/>
    <w:rsid w:val="00C86F38"/>
    <w:rsid w:val="00C870A8"/>
    <w:rsid w:val="00C91E6B"/>
    <w:rsid w:val="00C94434"/>
    <w:rsid w:val="00CA0D4A"/>
    <w:rsid w:val="00CA0D75"/>
    <w:rsid w:val="00CA1C95"/>
    <w:rsid w:val="00CA365B"/>
    <w:rsid w:val="00CA5A9C"/>
    <w:rsid w:val="00CB222E"/>
    <w:rsid w:val="00CB643E"/>
    <w:rsid w:val="00CB7FFB"/>
    <w:rsid w:val="00CC1DA5"/>
    <w:rsid w:val="00CC29D6"/>
    <w:rsid w:val="00CC3BF8"/>
    <w:rsid w:val="00CC4C20"/>
    <w:rsid w:val="00CC569F"/>
    <w:rsid w:val="00CC727C"/>
    <w:rsid w:val="00CD3517"/>
    <w:rsid w:val="00CD5FE2"/>
    <w:rsid w:val="00CE0715"/>
    <w:rsid w:val="00CE664B"/>
    <w:rsid w:val="00CE7C68"/>
    <w:rsid w:val="00CF12C7"/>
    <w:rsid w:val="00CF323F"/>
    <w:rsid w:val="00D00B1E"/>
    <w:rsid w:val="00D02B4C"/>
    <w:rsid w:val="00D03768"/>
    <w:rsid w:val="00D040C4"/>
    <w:rsid w:val="00D129A3"/>
    <w:rsid w:val="00D14C9B"/>
    <w:rsid w:val="00D1692A"/>
    <w:rsid w:val="00D20840"/>
    <w:rsid w:val="00D20AD1"/>
    <w:rsid w:val="00D249D5"/>
    <w:rsid w:val="00D25FF6"/>
    <w:rsid w:val="00D30EA9"/>
    <w:rsid w:val="00D330B2"/>
    <w:rsid w:val="00D40768"/>
    <w:rsid w:val="00D424E6"/>
    <w:rsid w:val="00D4255E"/>
    <w:rsid w:val="00D42796"/>
    <w:rsid w:val="00D43E24"/>
    <w:rsid w:val="00D457E6"/>
    <w:rsid w:val="00D45CB3"/>
    <w:rsid w:val="00D46B7E"/>
    <w:rsid w:val="00D47140"/>
    <w:rsid w:val="00D5140F"/>
    <w:rsid w:val="00D51E09"/>
    <w:rsid w:val="00D522DE"/>
    <w:rsid w:val="00D556C3"/>
    <w:rsid w:val="00D55C54"/>
    <w:rsid w:val="00D57C84"/>
    <w:rsid w:val="00D6057D"/>
    <w:rsid w:val="00D612B7"/>
    <w:rsid w:val="00D62C70"/>
    <w:rsid w:val="00D64010"/>
    <w:rsid w:val="00D648EC"/>
    <w:rsid w:val="00D7142C"/>
    <w:rsid w:val="00D71640"/>
    <w:rsid w:val="00D836C5"/>
    <w:rsid w:val="00D84576"/>
    <w:rsid w:val="00D96BC8"/>
    <w:rsid w:val="00DA07AB"/>
    <w:rsid w:val="00DA1399"/>
    <w:rsid w:val="00DA24C6"/>
    <w:rsid w:val="00DA4D7B"/>
    <w:rsid w:val="00DA5AD7"/>
    <w:rsid w:val="00DA616C"/>
    <w:rsid w:val="00DA6385"/>
    <w:rsid w:val="00DA6C9C"/>
    <w:rsid w:val="00DA734B"/>
    <w:rsid w:val="00DB4E26"/>
    <w:rsid w:val="00DB7756"/>
    <w:rsid w:val="00DD271C"/>
    <w:rsid w:val="00DD2C6E"/>
    <w:rsid w:val="00DD5CC6"/>
    <w:rsid w:val="00DE264A"/>
    <w:rsid w:val="00DE41C1"/>
    <w:rsid w:val="00DE5CB4"/>
    <w:rsid w:val="00DF5072"/>
    <w:rsid w:val="00E02D18"/>
    <w:rsid w:val="00E041E7"/>
    <w:rsid w:val="00E052E3"/>
    <w:rsid w:val="00E06E6D"/>
    <w:rsid w:val="00E07B20"/>
    <w:rsid w:val="00E16577"/>
    <w:rsid w:val="00E16EE4"/>
    <w:rsid w:val="00E23CA1"/>
    <w:rsid w:val="00E24FCC"/>
    <w:rsid w:val="00E33DD7"/>
    <w:rsid w:val="00E35295"/>
    <w:rsid w:val="00E409A8"/>
    <w:rsid w:val="00E46297"/>
    <w:rsid w:val="00E50C12"/>
    <w:rsid w:val="00E543F5"/>
    <w:rsid w:val="00E602CE"/>
    <w:rsid w:val="00E62535"/>
    <w:rsid w:val="00E65B91"/>
    <w:rsid w:val="00E664C3"/>
    <w:rsid w:val="00E7209D"/>
    <w:rsid w:val="00E72EAD"/>
    <w:rsid w:val="00E73856"/>
    <w:rsid w:val="00E743FD"/>
    <w:rsid w:val="00E750B6"/>
    <w:rsid w:val="00E77223"/>
    <w:rsid w:val="00E82AEE"/>
    <w:rsid w:val="00E82CDD"/>
    <w:rsid w:val="00E841BE"/>
    <w:rsid w:val="00E8528B"/>
    <w:rsid w:val="00E85B94"/>
    <w:rsid w:val="00E954A9"/>
    <w:rsid w:val="00E96885"/>
    <w:rsid w:val="00E978D0"/>
    <w:rsid w:val="00EA4613"/>
    <w:rsid w:val="00EA7F91"/>
    <w:rsid w:val="00EB0B0D"/>
    <w:rsid w:val="00EB1523"/>
    <w:rsid w:val="00EB247C"/>
    <w:rsid w:val="00EB46D4"/>
    <w:rsid w:val="00EB78C8"/>
    <w:rsid w:val="00EC0E49"/>
    <w:rsid w:val="00EC101F"/>
    <w:rsid w:val="00EC1D9F"/>
    <w:rsid w:val="00ED0435"/>
    <w:rsid w:val="00ED1B63"/>
    <w:rsid w:val="00ED234F"/>
    <w:rsid w:val="00ED67E7"/>
    <w:rsid w:val="00ED79FD"/>
    <w:rsid w:val="00EE0131"/>
    <w:rsid w:val="00EE17B0"/>
    <w:rsid w:val="00EE1E63"/>
    <w:rsid w:val="00EE3CB3"/>
    <w:rsid w:val="00EF06D9"/>
    <w:rsid w:val="00EF1C55"/>
    <w:rsid w:val="00EF1CC8"/>
    <w:rsid w:val="00EF3E00"/>
    <w:rsid w:val="00EF5DFB"/>
    <w:rsid w:val="00F0135A"/>
    <w:rsid w:val="00F0217F"/>
    <w:rsid w:val="00F0390B"/>
    <w:rsid w:val="00F0478C"/>
    <w:rsid w:val="00F10868"/>
    <w:rsid w:val="00F14770"/>
    <w:rsid w:val="00F1553C"/>
    <w:rsid w:val="00F15672"/>
    <w:rsid w:val="00F15819"/>
    <w:rsid w:val="00F21186"/>
    <w:rsid w:val="00F23C9A"/>
    <w:rsid w:val="00F3049E"/>
    <w:rsid w:val="00F30C64"/>
    <w:rsid w:val="00F32BA2"/>
    <w:rsid w:val="00F32CDB"/>
    <w:rsid w:val="00F46A27"/>
    <w:rsid w:val="00F50EA3"/>
    <w:rsid w:val="00F51867"/>
    <w:rsid w:val="00F528F2"/>
    <w:rsid w:val="00F53220"/>
    <w:rsid w:val="00F5363D"/>
    <w:rsid w:val="00F54192"/>
    <w:rsid w:val="00F565FE"/>
    <w:rsid w:val="00F63A70"/>
    <w:rsid w:val="00F63D8C"/>
    <w:rsid w:val="00F7534E"/>
    <w:rsid w:val="00F819BD"/>
    <w:rsid w:val="00F81AA2"/>
    <w:rsid w:val="00F81B1B"/>
    <w:rsid w:val="00F81C16"/>
    <w:rsid w:val="00F823E7"/>
    <w:rsid w:val="00F8257D"/>
    <w:rsid w:val="00F82C19"/>
    <w:rsid w:val="00F84151"/>
    <w:rsid w:val="00F932DF"/>
    <w:rsid w:val="00F93CFD"/>
    <w:rsid w:val="00F93EDF"/>
    <w:rsid w:val="00FA06C0"/>
    <w:rsid w:val="00FA1802"/>
    <w:rsid w:val="00FA21D0"/>
    <w:rsid w:val="00FA3CAC"/>
    <w:rsid w:val="00FA5F5F"/>
    <w:rsid w:val="00FB0C91"/>
    <w:rsid w:val="00FB1B25"/>
    <w:rsid w:val="00FB2E68"/>
    <w:rsid w:val="00FB356C"/>
    <w:rsid w:val="00FB446A"/>
    <w:rsid w:val="00FB730C"/>
    <w:rsid w:val="00FC2695"/>
    <w:rsid w:val="00FC3B0C"/>
    <w:rsid w:val="00FC3E03"/>
    <w:rsid w:val="00FC3FC1"/>
    <w:rsid w:val="00FC5848"/>
    <w:rsid w:val="00FC66FF"/>
    <w:rsid w:val="00FD2E98"/>
    <w:rsid w:val="00FD3906"/>
    <w:rsid w:val="00FE5346"/>
    <w:rsid w:val="0175510A"/>
    <w:rsid w:val="01A9D670"/>
    <w:rsid w:val="02524980"/>
    <w:rsid w:val="0388619E"/>
    <w:rsid w:val="03F1563F"/>
    <w:rsid w:val="040098D8"/>
    <w:rsid w:val="04A33ED9"/>
    <w:rsid w:val="04AB2B64"/>
    <w:rsid w:val="05A94E91"/>
    <w:rsid w:val="061F66AB"/>
    <w:rsid w:val="0724A273"/>
    <w:rsid w:val="0928E593"/>
    <w:rsid w:val="0987862C"/>
    <w:rsid w:val="0A07A4F7"/>
    <w:rsid w:val="0A26454E"/>
    <w:rsid w:val="0A5ACAB4"/>
    <w:rsid w:val="0B5D8CB9"/>
    <w:rsid w:val="0DE7C19C"/>
    <w:rsid w:val="0E7C5ED0"/>
    <w:rsid w:val="0EC11856"/>
    <w:rsid w:val="0F2E0A01"/>
    <w:rsid w:val="0F77C1D7"/>
    <w:rsid w:val="0FA78656"/>
    <w:rsid w:val="0FC3C5A4"/>
    <w:rsid w:val="11712219"/>
    <w:rsid w:val="1211E0E9"/>
    <w:rsid w:val="126CFFD6"/>
    <w:rsid w:val="12B0C7D5"/>
    <w:rsid w:val="130531CC"/>
    <w:rsid w:val="14CE66B8"/>
    <w:rsid w:val="152A8CCB"/>
    <w:rsid w:val="156F83BA"/>
    <w:rsid w:val="16ED348B"/>
    <w:rsid w:val="17E819C0"/>
    <w:rsid w:val="1A9C8B3A"/>
    <w:rsid w:val="1AB3BA5E"/>
    <w:rsid w:val="1CD28831"/>
    <w:rsid w:val="1D714753"/>
    <w:rsid w:val="1EEDAC8E"/>
    <w:rsid w:val="1F4102C5"/>
    <w:rsid w:val="201A50E2"/>
    <w:rsid w:val="20912179"/>
    <w:rsid w:val="211A8E0A"/>
    <w:rsid w:val="21D554B6"/>
    <w:rsid w:val="2292990A"/>
    <w:rsid w:val="24609C84"/>
    <w:rsid w:val="24E20E5E"/>
    <w:rsid w:val="253FB476"/>
    <w:rsid w:val="254DC81F"/>
    <w:rsid w:val="27436C46"/>
    <w:rsid w:val="276C95F2"/>
    <w:rsid w:val="27C8BC05"/>
    <w:rsid w:val="28677B27"/>
    <w:rsid w:val="2926EB85"/>
    <w:rsid w:val="2A11ADE7"/>
    <w:rsid w:val="2A5FD73D"/>
    <w:rsid w:val="2A8648FA"/>
    <w:rsid w:val="2A945CA3"/>
    <w:rsid w:val="2BE9B92B"/>
    <w:rsid w:val="2D0F5089"/>
    <w:rsid w:val="2D51E998"/>
    <w:rsid w:val="2DBAA5E8"/>
    <w:rsid w:val="2FDAF127"/>
    <w:rsid w:val="30FB304F"/>
    <w:rsid w:val="341A0F0E"/>
    <w:rsid w:val="35397244"/>
    <w:rsid w:val="35560B11"/>
    <w:rsid w:val="35CD2986"/>
    <w:rsid w:val="36809ED9"/>
    <w:rsid w:val="38300B5C"/>
    <w:rsid w:val="38550225"/>
    <w:rsid w:val="38563115"/>
    <w:rsid w:val="3A5B553E"/>
    <w:rsid w:val="3A74FEE8"/>
    <w:rsid w:val="3AF8C5A8"/>
    <w:rsid w:val="3B05AA61"/>
    <w:rsid w:val="3CA89FE1"/>
    <w:rsid w:val="3D89C8C3"/>
    <w:rsid w:val="3DF7BCBC"/>
    <w:rsid w:val="3E05D065"/>
    <w:rsid w:val="3F4DB03A"/>
    <w:rsid w:val="3F5BC3E3"/>
    <w:rsid w:val="3FF018D2"/>
    <w:rsid w:val="40F69ED7"/>
    <w:rsid w:val="416C7E0D"/>
    <w:rsid w:val="4250E83C"/>
    <w:rsid w:val="4340AF20"/>
    <w:rsid w:val="456B32BC"/>
    <w:rsid w:val="45A50E7C"/>
    <w:rsid w:val="45E38021"/>
    <w:rsid w:val="46368AB9"/>
    <w:rsid w:val="465F5A56"/>
    <w:rsid w:val="47C1E991"/>
    <w:rsid w:val="48A57DB5"/>
    <w:rsid w:val="49390E9D"/>
    <w:rsid w:val="49C23DC5"/>
    <w:rsid w:val="4AF4604F"/>
    <w:rsid w:val="4B1AD20C"/>
    <w:rsid w:val="4B39573E"/>
    <w:rsid w:val="4B931F71"/>
    <w:rsid w:val="4DD85F01"/>
    <w:rsid w:val="4F815D17"/>
    <w:rsid w:val="4FDB254A"/>
    <w:rsid w:val="50A52E8F"/>
    <w:rsid w:val="51A142B4"/>
    <w:rsid w:val="52441370"/>
    <w:rsid w:val="53C01087"/>
    <w:rsid w:val="552DB5BF"/>
    <w:rsid w:val="562D2D32"/>
    <w:rsid w:val="564BB264"/>
    <w:rsid w:val="56560872"/>
    <w:rsid w:val="565FB518"/>
    <w:rsid w:val="56BC3B3A"/>
    <w:rsid w:val="5954F3E3"/>
    <w:rsid w:val="5982BBAE"/>
    <w:rsid w:val="5B023835"/>
    <w:rsid w:val="5BDF2A62"/>
    <w:rsid w:val="5BFB51B4"/>
    <w:rsid w:val="5D9CF9BC"/>
    <w:rsid w:val="5E327D9B"/>
    <w:rsid w:val="5E7C12A9"/>
    <w:rsid w:val="5E8FD29E"/>
    <w:rsid w:val="5FBBC78F"/>
    <w:rsid w:val="610C31E2"/>
    <w:rsid w:val="618D9AC2"/>
    <w:rsid w:val="62606990"/>
    <w:rsid w:val="63E87F09"/>
    <w:rsid w:val="63FC39F1"/>
    <w:rsid w:val="64244AD8"/>
    <w:rsid w:val="644B27B7"/>
    <w:rsid w:val="64804FB3"/>
    <w:rsid w:val="656F5072"/>
    <w:rsid w:val="65980A52"/>
    <w:rsid w:val="65FFBBCE"/>
    <w:rsid w:val="660DCF77"/>
    <w:rsid w:val="66518337"/>
    <w:rsid w:val="6669F58A"/>
    <w:rsid w:val="6687D10D"/>
    <w:rsid w:val="6733DAB3"/>
    <w:rsid w:val="67354D87"/>
    <w:rsid w:val="68E9E19E"/>
    <w:rsid w:val="69359628"/>
    <w:rsid w:val="6C1994DA"/>
    <w:rsid w:val="6E2F4732"/>
    <w:rsid w:val="6E6114A9"/>
    <w:rsid w:val="6F3E6A98"/>
    <w:rsid w:val="71D08A38"/>
    <w:rsid w:val="71D876C3"/>
    <w:rsid w:val="7259F6C9"/>
    <w:rsid w:val="72B8C5A8"/>
    <w:rsid w:val="7350C021"/>
    <w:rsid w:val="738D0ADA"/>
    <w:rsid w:val="739B1E83"/>
    <w:rsid w:val="73F74496"/>
    <w:rsid w:val="74A41761"/>
    <w:rsid w:val="7590C2AA"/>
    <w:rsid w:val="764A97CF"/>
    <w:rsid w:val="771DDC57"/>
    <w:rsid w:val="77B728DF"/>
    <w:rsid w:val="7882D505"/>
    <w:rsid w:val="79725E80"/>
    <w:rsid w:val="79738D70"/>
    <w:rsid w:val="7CA04C4F"/>
    <w:rsid w:val="7DC12D87"/>
    <w:rsid w:val="7DC87551"/>
    <w:rsid w:val="7F9B7A2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A006A"/>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A006A"/>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B52749"/>
    <w:pPr>
      <w:spacing w:after="0" w:line="240" w:lineRule="auto"/>
    </w:pPr>
    <w:rPr>
      <w:rFonts w:ascii="Arial" w:eastAsia="Times New Roman" w:hAnsi="Arial" w:cs="Times New Roman"/>
      <w:sz w:val="18"/>
      <w:szCs w:val="20"/>
      <w:lang w:val="en-GB"/>
    </w:rPr>
  </w:style>
  <w:style w:type="character" w:customStyle="1" w:styleId="normaltextrun">
    <w:name w:val="normaltextrun"/>
    <w:basedOn w:val="Carpredefinitoparagrafo"/>
    <w:rsid w:val="003C3BF0"/>
  </w:style>
  <w:style w:type="character" w:customStyle="1" w:styleId="eop">
    <w:name w:val="eop"/>
    <w:basedOn w:val="Carpredefinitoparagrafo"/>
    <w:rsid w:val="003C3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26439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tente\Documents\Uni\Risultati\Pomodori\RR%20Giagi&#249;%20con%20gomme%20e%20ce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tente\Documents\Uni\Risultati\Pomodori\PAW+Coating\PAW+coatin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tente\Documents\Uni\Risultati\Pomodori\PAW+Coating\PAW+coating.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A</a:t>
            </a:r>
          </a:p>
        </c:rich>
      </c:tx>
      <c:layout>
        <c:manualLayout>
          <c:xMode val="edge"/>
          <c:yMode val="edge"/>
          <c:x val="0.90176037412363819"/>
          <c:y val="3.64593882924853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9685514185098721"/>
          <c:y val="7.7524429967426742E-2"/>
          <c:w val="0.74786847623946506"/>
          <c:h val="0.65950069833216363"/>
        </c:manualLayout>
      </c:layout>
      <c:barChart>
        <c:barDir val="col"/>
        <c:grouping val="clustered"/>
        <c:varyColors val="0"/>
        <c:ser>
          <c:idx val="0"/>
          <c:order val="0"/>
          <c:tx>
            <c:v>Ciliegino</c:v>
          </c:tx>
          <c:spPr>
            <a:solidFill>
              <a:schemeClr val="tx1">
                <a:lumMod val="75000"/>
                <a:lumOff val="25000"/>
              </a:schemeClr>
            </a:solidFill>
            <a:ln w="25400">
              <a:noFill/>
              <a:prstDash val="solid"/>
            </a:ln>
            <a:effectLst/>
          </c:spPr>
          <c:invertIfNegative val="0"/>
          <c:errBars>
            <c:errBarType val="both"/>
            <c:errValType val="cust"/>
            <c:noEndCap val="0"/>
            <c:plus>
              <c:numRef>
                <c:f>FoglioTot!$F$3:$F$7</c:f>
                <c:numCache>
                  <c:formatCode>General</c:formatCode>
                  <c:ptCount val="5"/>
                  <c:pt idx="0">
                    <c:v>0.23214204064091318</c:v>
                  </c:pt>
                  <c:pt idx="1">
                    <c:v>0.34970477804470773</c:v>
                  </c:pt>
                  <c:pt idx="2">
                    <c:v>0.4221189398295862</c:v>
                  </c:pt>
                  <c:pt idx="3">
                    <c:v>0.22553135589681078</c:v>
                  </c:pt>
                  <c:pt idx="4">
                    <c:v>7.2886513216543778E-3</c:v>
                  </c:pt>
                </c:numCache>
              </c:numRef>
            </c:plus>
            <c:minus>
              <c:numRef>
                <c:f>FoglioTot!$F$3:$F$7</c:f>
                <c:numCache>
                  <c:formatCode>General</c:formatCode>
                  <c:ptCount val="5"/>
                  <c:pt idx="0">
                    <c:v>0.23214204064091318</c:v>
                  </c:pt>
                  <c:pt idx="1">
                    <c:v>0.34970477804470773</c:v>
                  </c:pt>
                  <c:pt idx="2">
                    <c:v>0.4221189398295862</c:v>
                  </c:pt>
                  <c:pt idx="3">
                    <c:v>0.22553135589681078</c:v>
                  </c:pt>
                  <c:pt idx="4">
                    <c:v>7.2886513216543778E-3</c:v>
                  </c:pt>
                </c:numCache>
              </c:numRef>
            </c:minus>
            <c:spPr>
              <a:noFill/>
              <a:ln w="9525" cap="flat" cmpd="sng" algn="ctr">
                <a:solidFill>
                  <a:schemeClr val="tx1">
                    <a:lumMod val="65000"/>
                    <a:lumOff val="35000"/>
                  </a:schemeClr>
                </a:solidFill>
                <a:round/>
              </a:ln>
              <a:effectLst/>
            </c:spPr>
          </c:errBars>
          <c:cat>
            <c:numRef>
              <c:f>FoglioTot!$B$3:$B$7</c:f>
              <c:numCache>
                <c:formatCode>General</c:formatCode>
                <c:ptCount val="5"/>
                <c:pt idx="0">
                  <c:v>5</c:v>
                </c:pt>
                <c:pt idx="1">
                  <c:v>10</c:v>
                </c:pt>
                <c:pt idx="2">
                  <c:v>15</c:v>
                </c:pt>
                <c:pt idx="3">
                  <c:v>20</c:v>
                </c:pt>
                <c:pt idx="4">
                  <c:v>25</c:v>
                </c:pt>
              </c:numCache>
            </c:numRef>
          </c:cat>
          <c:val>
            <c:numRef>
              <c:f>FoglioTot!$D$3:$D$7</c:f>
              <c:numCache>
                <c:formatCode>General</c:formatCode>
                <c:ptCount val="5"/>
                <c:pt idx="0">
                  <c:v>2.3962858305806565</c:v>
                </c:pt>
                <c:pt idx="1">
                  <c:v>4.5474108143962457</c:v>
                </c:pt>
                <c:pt idx="2">
                  <c:v>5.3847413574722172</c:v>
                </c:pt>
                <c:pt idx="3">
                  <c:v>7.7440405327179622</c:v>
                </c:pt>
                <c:pt idx="4">
                  <c:v>9.9810135109127902</c:v>
                </c:pt>
              </c:numCache>
            </c:numRef>
          </c:val>
          <c:extLst>
            <c:ext xmlns:c16="http://schemas.microsoft.com/office/drawing/2014/chart" uri="{C3380CC4-5D6E-409C-BE32-E72D297353CC}">
              <c16:uniqueId val="{00000000-6333-4161-937E-14A210E944A7}"/>
            </c:ext>
          </c:extLst>
        </c:ser>
        <c:dLbls>
          <c:showLegendKey val="0"/>
          <c:showVal val="0"/>
          <c:showCatName val="0"/>
          <c:showSerName val="0"/>
          <c:showPercent val="0"/>
          <c:showBubbleSize val="0"/>
        </c:dLbls>
        <c:gapWidth val="150"/>
        <c:axId val="1935866895"/>
        <c:axId val="1942957871"/>
      </c:barChart>
      <c:catAx>
        <c:axId val="1935866895"/>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it-IT" sz="800" b="0">
                    <a:solidFill>
                      <a:sysClr val="windowText" lastClr="000000"/>
                    </a:solidFill>
                  </a:rPr>
                  <a:t>Temperature °C</a:t>
                </a:r>
              </a:p>
            </c:rich>
          </c:tx>
          <c:layout>
            <c:manualLayout>
              <c:xMode val="edge"/>
              <c:yMode val="edge"/>
              <c:x val="0.39259826177902096"/>
              <c:y val="0.8431591934785391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t-IT"/>
          </a:p>
        </c:txPr>
        <c:crossAx val="1942957871"/>
        <c:crosses val="autoZero"/>
        <c:auto val="1"/>
        <c:lblAlgn val="ctr"/>
        <c:lblOffset val="100"/>
        <c:noMultiLvlLbl val="0"/>
      </c:catAx>
      <c:valAx>
        <c:axId val="1942957871"/>
        <c:scaling>
          <c:orientation val="minMax"/>
          <c:max val="10"/>
          <c:min val="0"/>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t-IT" sz="900" b="0">
                    <a:solidFill>
                      <a:sysClr val="windowText" lastClr="000000"/>
                    </a:solidFill>
                  </a:rPr>
                  <a:t>RRO</a:t>
                </a:r>
                <a:r>
                  <a:rPr lang="it-IT" sz="900" b="0" baseline="-25000">
                    <a:solidFill>
                      <a:sysClr val="windowText" lastClr="000000"/>
                    </a:solidFill>
                  </a:rPr>
                  <a:t>2</a:t>
                </a:r>
                <a:r>
                  <a:rPr lang="it-IT" sz="900" b="0">
                    <a:solidFill>
                      <a:sysClr val="windowText" lastClr="000000"/>
                    </a:solidFill>
                  </a:rPr>
                  <a:t> ml/Kg h </a:t>
                </a:r>
              </a:p>
            </c:rich>
          </c:tx>
          <c:layout>
            <c:manualLayout>
              <c:xMode val="edge"/>
              <c:yMode val="edge"/>
              <c:x val="5.0251256281407036E-3"/>
              <c:y val="0.2758414377948092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1935866895"/>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B</a:t>
            </a:r>
          </a:p>
        </c:rich>
      </c:tx>
      <c:layout>
        <c:manualLayout>
          <c:xMode val="edge"/>
          <c:yMode val="edge"/>
          <c:x val="0.87161117503652241"/>
          <c:y val="3.52837400764481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26102239641352337"/>
          <c:y val="6.4686630335415912E-2"/>
          <c:w val="0.66787614017981412"/>
          <c:h val="0.68128040154933589"/>
        </c:manualLayout>
      </c:layout>
      <c:barChart>
        <c:barDir val="col"/>
        <c:grouping val="clustered"/>
        <c:varyColors val="0"/>
        <c:ser>
          <c:idx val="0"/>
          <c:order val="0"/>
          <c:tx>
            <c:v>Controllo</c:v>
          </c:tx>
          <c:spPr>
            <a:solidFill>
              <a:schemeClr val="tx1">
                <a:lumMod val="75000"/>
                <a:lumOff val="25000"/>
              </a:schemeClr>
            </a:solidFill>
            <a:ln>
              <a:noFill/>
            </a:ln>
            <a:effectLst/>
          </c:spPr>
          <c:invertIfNegative val="0"/>
          <c:errBars>
            <c:errBarType val="both"/>
            <c:errValType val="cust"/>
            <c:noEndCap val="0"/>
            <c:plus>
              <c:numRef>
                <c:f>(FoglioTot!$F$6,FoglioTot!$K$6)</c:f>
                <c:numCache>
                  <c:formatCode>General</c:formatCode>
                  <c:ptCount val="2"/>
                  <c:pt idx="0">
                    <c:v>0.22553135589681078</c:v>
                  </c:pt>
                  <c:pt idx="1">
                    <c:v>1.1834947937625321E-2</c:v>
                  </c:pt>
                </c:numCache>
              </c:numRef>
            </c:plus>
            <c:minus>
              <c:numRef>
                <c:f>(FoglioTot!$F$6,FoglioTot!$K$6)</c:f>
                <c:numCache>
                  <c:formatCode>General</c:formatCode>
                  <c:ptCount val="2"/>
                  <c:pt idx="0">
                    <c:v>0.22553135589681078</c:v>
                  </c:pt>
                  <c:pt idx="1">
                    <c:v>1.1834947937625321E-2</c:v>
                  </c:pt>
                </c:numCache>
              </c:numRef>
            </c:minus>
            <c:spPr>
              <a:noFill/>
              <a:ln w="9525" cap="flat" cmpd="sng" algn="ctr">
                <a:solidFill>
                  <a:schemeClr val="tx1">
                    <a:lumMod val="65000"/>
                    <a:lumOff val="35000"/>
                  </a:schemeClr>
                </a:solidFill>
                <a:round/>
              </a:ln>
              <a:effectLst/>
            </c:spPr>
          </c:errBars>
          <c:cat>
            <c:strRef>
              <c:f>(FoglioTot!$B$15,FoglioTot!$C$15)</c:f>
              <c:strCache>
                <c:ptCount val="2"/>
                <c:pt idx="0">
                  <c:v>RRO2</c:v>
                </c:pt>
                <c:pt idx="1">
                  <c:v>RRCO2</c:v>
                </c:pt>
              </c:strCache>
            </c:strRef>
          </c:cat>
          <c:val>
            <c:numRef>
              <c:f>(FoglioTot!$D$6,FoglioTot!$I$6)</c:f>
              <c:numCache>
                <c:formatCode>General</c:formatCode>
                <c:ptCount val="2"/>
                <c:pt idx="0">
                  <c:v>7.7440405327179622</c:v>
                </c:pt>
                <c:pt idx="1">
                  <c:v>7.5996881966172669</c:v>
                </c:pt>
              </c:numCache>
            </c:numRef>
          </c:val>
          <c:extLst>
            <c:ext xmlns:c16="http://schemas.microsoft.com/office/drawing/2014/chart" uri="{C3380CC4-5D6E-409C-BE32-E72D297353CC}">
              <c16:uniqueId val="{00000000-C7FF-49FA-9763-C4BC8FC7DFD9}"/>
            </c:ext>
          </c:extLst>
        </c:ser>
        <c:ser>
          <c:idx val="1"/>
          <c:order val="1"/>
          <c:tx>
            <c:v>Coating</c:v>
          </c:tx>
          <c:spPr>
            <a:solidFill>
              <a:schemeClr val="bg1">
                <a:lumMod val="65000"/>
              </a:schemeClr>
            </a:solidFill>
            <a:ln>
              <a:noFill/>
            </a:ln>
            <a:effectLst/>
          </c:spPr>
          <c:invertIfNegative val="0"/>
          <c:errBars>
            <c:errBarType val="both"/>
            <c:errValType val="cust"/>
            <c:noEndCap val="0"/>
            <c:plus>
              <c:numRef>
                <c:f>(FoglioTot!$F$10,FoglioTot!$K$10)</c:f>
                <c:numCache>
                  <c:formatCode>General</c:formatCode>
                  <c:ptCount val="2"/>
                  <c:pt idx="0">
                    <c:v>0.14816470837056619</c:v>
                  </c:pt>
                  <c:pt idx="1">
                    <c:v>0.24389236877166351</c:v>
                  </c:pt>
                </c:numCache>
              </c:numRef>
            </c:plus>
            <c:minus>
              <c:numRef>
                <c:f>(FoglioTot!$F$10,FoglioTot!$K$10)</c:f>
                <c:numCache>
                  <c:formatCode>General</c:formatCode>
                  <c:ptCount val="2"/>
                  <c:pt idx="0">
                    <c:v>0.14816470837056619</c:v>
                  </c:pt>
                  <c:pt idx="1">
                    <c:v>0.24389236877166351</c:v>
                  </c:pt>
                </c:numCache>
              </c:numRef>
            </c:minus>
            <c:spPr>
              <a:noFill/>
              <a:ln w="9525" cap="flat" cmpd="sng" algn="ctr">
                <a:solidFill>
                  <a:schemeClr val="tx1">
                    <a:lumMod val="65000"/>
                    <a:lumOff val="35000"/>
                  </a:schemeClr>
                </a:solidFill>
                <a:round/>
              </a:ln>
              <a:effectLst/>
            </c:spPr>
          </c:errBars>
          <c:cat>
            <c:strRef>
              <c:f>(FoglioTot!$B$15,FoglioTot!$C$15)</c:f>
              <c:strCache>
                <c:ptCount val="2"/>
                <c:pt idx="0">
                  <c:v>RRO2</c:v>
                </c:pt>
                <c:pt idx="1">
                  <c:v>RRCO2</c:v>
                </c:pt>
              </c:strCache>
            </c:strRef>
          </c:cat>
          <c:val>
            <c:numRef>
              <c:f>(FoglioTot!$D$10,FoglioTot!$I$10)</c:f>
              <c:numCache>
                <c:formatCode>General</c:formatCode>
                <c:ptCount val="2"/>
                <c:pt idx="0">
                  <c:v>7.6322281471760984</c:v>
                </c:pt>
                <c:pt idx="1">
                  <c:v>7.8540866381491679</c:v>
                </c:pt>
              </c:numCache>
            </c:numRef>
          </c:val>
          <c:extLst>
            <c:ext xmlns:c16="http://schemas.microsoft.com/office/drawing/2014/chart" uri="{C3380CC4-5D6E-409C-BE32-E72D297353CC}">
              <c16:uniqueId val="{00000001-C7FF-49FA-9763-C4BC8FC7DFD9}"/>
            </c:ext>
          </c:extLst>
        </c:ser>
        <c:dLbls>
          <c:showLegendKey val="0"/>
          <c:showVal val="0"/>
          <c:showCatName val="0"/>
          <c:showSerName val="0"/>
          <c:showPercent val="0"/>
          <c:showBubbleSize val="0"/>
        </c:dLbls>
        <c:gapWidth val="219"/>
        <c:overlap val="-27"/>
        <c:axId val="855607440"/>
        <c:axId val="783533408"/>
      </c:barChart>
      <c:catAx>
        <c:axId val="855607440"/>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783533408"/>
        <c:crosses val="autoZero"/>
        <c:auto val="1"/>
        <c:lblAlgn val="ctr"/>
        <c:lblOffset val="100"/>
        <c:noMultiLvlLbl val="0"/>
      </c:catAx>
      <c:valAx>
        <c:axId val="783533408"/>
        <c:scaling>
          <c:orientation val="minMax"/>
          <c:max val="8.5"/>
          <c:min val="7"/>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t-IT" sz="900" b="0">
                    <a:solidFill>
                      <a:sysClr val="windowText" lastClr="000000"/>
                    </a:solidFill>
                  </a:rPr>
                  <a:t>RRO</a:t>
                </a:r>
                <a:r>
                  <a:rPr lang="it-IT" sz="900" b="0" baseline="-25000">
                    <a:solidFill>
                      <a:sysClr val="windowText" lastClr="000000"/>
                    </a:solidFill>
                  </a:rPr>
                  <a:t>2</a:t>
                </a:r>
                <a:r>
                  <a:rPr lang="it-IT" sz="900" b="0">
                    <a:solidFill>
                      <a:sysClr val="windowText" lastClr="000000"/>
                    </a:solidFill>
                  </a:rPr>
                  <a:t> - RRCO</a:t>
                </a:r>
                <a:r>
                  <a:rPr lang="it-IT" sz="900" b="0" baseline="-25000">
                    <a:solidFill>
                      <a:sysClr val="windowText" lastClr="000000"/>
                    </a:solidFill>
                  </a:rPr>
                  <a:t>2</a:t>
                </a:r>
                <a:r>
                  <a:rPr lang="it-IT" sz="900" b="0">
                    <a:solidFill>
                      <a:sysClr val="windowText" lastClr="000000"/>
                    </a:solidFill>
                  </a:rPr>
                  <a:t>  ml/Kg h</a:t>
                </a:r>
              </a:p>
            </c:rich>
          </c:tx>
          <c:layout>
            <c:manualLayout>
              <c:xMode val="edge"/>
              <c:yMode val="edge"/>
              <c:x val="1.7641870038224053E-2"/>
              <c:y val="0.1508870711949010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855607440"/>
        <c:crosses val="autoZero"/>
        <c:crossBetween val="between"/>
        <c:majorUnit val="0.4"/>
        <c:min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C</a:t>
            </a:r>
          </a:p>
        </c:rich>
      </c:tx>
      <c:layout>
        <c:manualLayout>
          <c:xMode val="edge"/>
          <c:yMode val="edge"/>
          <c:x val="0.86733470375215271"/>
          <c:y val="3.207184092366902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9655947432484988"/>
          <c:y val="6.3283045360189499E-2"/>
          <c:w val="0.76728268171096969"/>
          <c:h val="0.69164768451409897"/>
        </c:manualLayout>
      </c:layout>
      <c:barChart>
        <c:barDir val="col"/>
        <c:grouping val="clustered"/>
        <c:varyColors val="0"/>
        <c:ser>
          <c:idx val="0"/>
          <c:order val="0"/>
          <c:spPr>
            <a:solidFill>
              <a:schemeClr val="tx1">
                <a:lumMod val="75000"/>
                <a:lumOff val="25000"/>
              </a:schemeClr>
            </a:solidFill>
            <a:ln>
              <a:noFill/>
            </a:ln>
            <a:effectLst/>
          </c:spPr>
          <c:invertIfNegative val="0"/>
          <c:errBars>
            <c:errBarType val="both"/>
            <c:errValType val="cust"/>
            <c:noEndCap val="0"/>
            <c:plus>
              <c:numRef>
                <c:f>Grafico!$F$3:$F$7</c:f>
                <c:numCache>
                  <c:formatCode>General</c:formatCode>
                  <c:ptCount val="5"/>
                  <c:pt idx="0">
                    <c:v>9.8706334353385813E-3</c:v>
                  </c:pt>
                  <c:pt idx="1">
                    <c:v>0.84393915872145953</c:v>
                  </c:pt>
                  <c:pt idx="2">
                    <c:v>0.69094434047370923</c:v>
                  </c:pt>
                  <c:pt idx="3">
                    <c:v>0.69094434047370923</c:v>
                  </c:pt>
                  <c:pt idx="4">
                    <c:v>0.64159117329701776</c:v>
                  </c:pt>
                </c:numCache>
              </c:numRef>
            </c:plus>
            <c:minus>
              <c:numRef>
                <c:f>Grafico!$F$3:$F$7</c:f>
                <c:numCache>
                  <c:formatCode>General</c:formatCode>
                  <c:ptCount val="5"/>
                  <c:pt idx="0">
                    <c:v>9.8706334353385813E-3</c:v>
                  </c:pt>
                  <c:pt idx="1">
                    <c:v>0.84393915872145953</c:v>
                  </c:pt>
                  <c:pt idx="2">
                    <c:v>0.69094434047370923</c:v>
                  </c:pt>
                  <c:pt idx="3">
                    <c:v>0.69094434047370923</c:v>
                  </c:pt>
                  <c:pt idx="4">
                    <c:v>0.64159117329701776</c:v>
                  </c:pt>
                </c:numCache>
              </c:numRef>
            </c:minus>
            <c:spPr>
              <a:noFill/>
              <a:ln w="9525" cap="flat" cmpd="sng" algn="ctr">
                <a:solidFill>
                  <a:schemeClr val="tx1">
                    <a:lumMod val="65000"/>
                    <a:lumOff val="35000"/>
                  </a:schemeClr>
                </a:solidFill>
                <a:round/>
              </a:ln>
              <a:effectLst/>
            </c:spPr>
          </c:errBars>
          <c:cat>
            <c:strRef>
              <c:f>Grafico!$D$3:$D$6</c:f>
              <c:strCache>
                <c:ptCount val="4"/>
                <c:pt idx="0">
                  <c:v>Control</c:v>
                </c:pt>
                <c:pt idx="1">
                  <c:v>SC/0.2GG</c:v>
                </c:pt>
                <c:pt idx="2">
                  <c:v>SC/0.3GG</c:v>
                </c:pt>
                <c:pt idx="3">
                  <c:v>SC/0.4GG</c:v>
                </c:pt>
              </c:strCache>
            </c:strRef>
          </c:cat>
          <c:val>
            <c:numRef>
              <c:f>Grafico!$E$3:$E$6</c:f>
              <c:numCache>
                <c:formatCode>0.0</c:formatCode>
                <c:ptCount val="4"/>
                <c:pt idx="0" formatCode="0.00">
                  <c:v>6.3723673469387752</c:v>
                </c:pt>
                <c:pt idx="1">
                  <c:v>3.9399795918367353</c:v>
                </c:pt>
                <c:pt idx="2">
                  <c:v>4.1807755102040822</c:v>
                </c:pt>
                <c:pt idx="3">
                  <c:v>3.7934081632653065</c:v>
                </c:pt>
              </c:numCache>
            </c:numRef>
          </c:val>
          <c:extLst>
            <c:ext xmlns:c16="http://schemas.microsoft.com/office/drawing/2014/chart" uri="{C3380CC4-5D6E-409C-BE32-E72D297353CC}">
              <c16:uniqueId val="{00000000-8403-402C-90C2-B0BCEE863258}"/>
            </c:ext>
          </c:extLst>
        </c:ser>
        <c:dLbls>
          <c:showLegendKey val="0"/>
          <c:showVal val="0"/>
          <c:showCatName val="0"/>
          <c:showSerName val="0"/>
          <c:showPercent val="0"/>
          <c:showBubbleSize val="0"/>
        </c:dLbls>
        <c:gapWidth val="219"/>
        <c:overlap val="-27"/>
        <c:axId val="479378816"/>
        <c:axId val="479379600"/>
      </c:barChart>
      <c:catAx>
        <c:axId val="479378816"/>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it-IT"/>
          </a:p>
        </c:txPr>
        <c:crossAx val="479379600"/>
        <c:crosses val="autoZero"/>
        <c:auto val="1"/>
        <c:lblAlgn val="ctr"/>
        <c:lblOffset val="100"/>
        <c:noMultiLvlLbl val="0"/>
      </c:catAx>
      <c:valAx>
        <c:axId val="479379600"/>
        <c:scaling>
          <c:orientation val="minMax"/>
          <c:max val="10"/>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it-IT" sz="900">
                    <a:solidFill>
                      <a:schemeClr val="tx1"/>
                    </a:solidFill>
                  </a:rPr>
                  <a:t>RRO</a:t>
                </a:r>
                <a:r>
                  <a:rPr lang="it-IT" sz="900" baseline="-25000">
                    <a:solidFill>
                      <a:schemeClr val="tx1"/>
                    </a:solidFill>
                  </a:rPr>
                  <a:t>2</a:t>
                </a:r>
                <a:r>
                  <a:rPr lang="it-IT" sz="900">
                    <a:solidFill>
                      <a:schemeClr val="tx1"/>
                    </a:solidFill>
                  </a:rPr>
                  <a:t> ml/kg h </a:t>
                </a:r>
              </a:p>
            </c:rich>
          </c:tx>
          <c:layout>
            <c:manualLayout>
              <c:xMode val="edge"/>
              <c:yMode val="edge"/>
              <c:x val="3.891046653164506E-3"/>
              <c:y val="0.258846524877142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79378816"/>
        <c:crosses val="autoZero"/>
        <c:crossBetween val="between"/>
        <c:min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B</a:t>
            </a:r>
          </a:p>
        </c:rich>
      </c:tx>
      <c:layout>
        <c:manualLayout>
          <c:xMode val="edge"/>
          <c:yMode val="edge"/>
          <c:x val="0.89825859689703103"/>
          <c:y val="3.200000000000000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19223305874450106"/>
          <c:y val="4.8997772828507792E-2"/>
          <c:w val="0.74003121322470988"/>
          <c:h val="0.62780098286303043"/>
        </c:manualLayout>
      </c:layout>
      <c:scatterChart>
        <c:scatterStyle val="lineMarker"/>
        <c:varyColors val="0"/>
        <c:ser>
          <c:idx val="0"/>
          <c:order val="0"/>
          <c:tx>
            <c:v>control</c:v>
          </c:tx>
          <c:spPr>
            <a:ln w="25400" cap="rnd">
              <a:no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'composizione gassosa'!$G$2:$G$6</c:f>
                <c:numCache>
                  <c:formatCode>General</c:formatCode>
                  <c:ptCount val="5"/>
                  <c:pt idx="0">
                    <c:v>0</c:v>
                  </c:pt>
                  <c:pt idx="1">
                    <c:v>0.3</c:v>
                  </c:pt>
                  <c:pt idx="2">
                    <c:v>0.9</c:v>
                  </c:pt>
                  <c:pt idx="3">
                    <c:v>0.7</c:v>
                  </c:pt>
                  <c:pt idx="4">
                    <c:v>0.35355339059327379</c:v>
                  </c:pt>
                </c:numCache>
              </c:numRef>
            </c:plus>
            <c:minus>
              <c:numRef>
                <c:f>'composizione gassosa'!$G$2:$G$6</c:f>
                <c:numCache>
                  <c:formatCode>General</c:formatCode>
                  <c:ptCount val="5"/>
                  <c:pt idx="0">
                    <c:v>0</c:v>
                  </c:pt>
                  <c:pt idx="1">
                    <c:v>0.3</c:v>
                  </c:pt>
                  <c:pt idx="2">
                    <c:v>0.9</c:v>
                  </c:pt>
                  <c:pt idx="3">
                    <c:v>0.7</c:v>
                  </c:pt>
                  <c:pt idx="4">
                    <c:v>0.35355339059327379</c:v>
                  </c:pt>
                </c:numCache>
              </c:numRef>
            </c:minus>
            <c:spPr>
              <a:noFill/>
              <a:ln w="9525" cap="flat" cmpd="sng" algn="ctr">
                <a:solidFill>
                  <a:schemeClr val="tx1">
                    <a:lumMod val="65000"/>
                    <a:lumOff val="35000"/>
                  </a:schemeClr>
                </a:solidFill>
                <a:round/>
              </a:ln>
              <a:effectLst/>
            </c:spPr>
          </c:errBars>
          <c:xVal>
            <c:numRef>
              <c:f>'composizione gassosa'!$B$2:$B$6</c:f>
              <c:numCache>
                <c:formatCode>General</c:formatCode>
                <c:ptCount val="5"/>
                <c:pt idx="0">
                  <c:v>0</c:v>
                </c:pt>
                <c:pt idx="1">
                  <c:v>3</c:v>
                </c:pt>
                <c:pt idx="2">
                  <c:v>6</c:v>
                </c:pt>
                <c:pt idx="3">
                  <c:v>9</c:v>
                </c:pt>
                <c:pt idx="4">
                  <c:v>14</c:v>
                </c:pt>
              </c:numCache>
            </c:numRef>
          </c:xVal>
          <c:yVal>
            <c:numRef>
              <c:f>'composizione gassosa'!$D$2:$D$6</c:f>
              <c:numCache>
                <c:formatCode>General</c:formatCode>
                <c:ptCount val="5"/>
                <c:pt idx="0">
                  <c:v>0</c:v>
                </c:pt>
                <c:pt idx="1">
                  <c:v>3</c:v>
                </c:pt>
                <c:pt idx="2">
                  <c:v>6.3</c:v>
                </c:pt>
                <c:pt idx="3">
                  <c:v>7.1</c:v>
                </c:pt>
                <c:pt idx="4" formatCode="0.0">
                  <c:v>7.85</c:v>
                </c:pt>
              </c:numCache>
            </c:numRef>
          </c:yVal>
          <c:smooth val="0"/>
          <c:extLst>
            <c:ext xmlns:c16="http://schemas.microsoft.com/office/drawing/2014/chart" uri="{C3380CC4-5D6E-409C-BE32-E72D297353CC}">
              <c16:uniqueId val="{00000000-17CE-410B-A4D8-1FCB9129ECF6}"/>
            </c:ext>
          </c:extLst>
        </c:ser>
        <c:ser>
          <c:idx val="1"/>
          <c:order val="1"/>
          <c:tx>
            <c:v>treated</c:v>
          </c:tx>
          <c:spPr>
            <a:ln w="25400" cap="rnd">
              <a:noFill/>
              <a:round/>
            </a:ln>
            <a:effectLst/>
          </c:spPr>
          <c:marker>
            <c:symbol val="triangle"/>
            <c:size val="5"/>
            <c:spPr>
              <a:noFill/>
              <a:ln w="9525">
                <a:solidFill>
                  <a:schemeClr val="tx1"/>
                </a:solidFill>
              </a:ln>
              <a:effectLst/>
            </c:spPr>
          </c:marker>
          <c:errBars>
            <c:errDir val="y"/>
            <c:errBarType val="both"/>
            <c:errValType val="cust"/>
            <c:noEndCap val="0"/>
            <c:plus>
              <c:numRef>
                <c:f>'composizione gassosa'!$G$8:$G$12</c:f>
                <c:numCache>
                  <c:formatCode>General</c:formatCode>
                  <c:ptCount val="5"/>
                  <c:pt idx="0">
                    <c:v>0</c:v>
                  </c:pt>
                  <c:pt idx="1">
                    <c:v>7.0710678118654821E-2</c:v>
                  </c:pt>
                  <c:pt idx="2">
                    <c:v>0.63639610306789363</c:v>
                  </c:pt>
                  <c:pt idx="3">
                    <c:v>2.1213203435596424</c:v>
                  </c:pt>
                  <c:pt idx="4">
                    <c:v>0.35355339059327379</c:v>
                  </c:pt>
                </c:numCache>
              </c:numRef>
            </c:plus>
            <c:minus>
              <c:numRef>
                <c:f>'composizione gassosa'!$G$8:$G$12</c:f>
                <c:numCache>
                  <c:formatCode>General</c:formatCode>
                  <c:ptCount val="5"/>
                  <c:pt idx="0">
                    <c:v>0</c:v>
                  </c:pt>
                  <c:pt idx="1">
                    <c:v>7.0710678118654821E-2</c:v>
                  </c:pt>
                  <c:pt idx="2">
                    <c:v>0.63639610306789363</c:v>
                  </c:pt>
                  <c:pt idx="3">
                    <c:v>2.1213203435596424</c:v>
                  </c:pt>
                  <c:pt idx="4">
                    <c:v>0.35355339059327379</c:v>
                  </c:pt>
                </c:numCache>
              </c:numRef>
            </c:minus>
            <c:spPr>
              <a:noFill/>
              <a:ln w="9525" cap="flat" cmpd="sng" algn="ctr">
                <a:solidFill>
                  <a:schemeClr val="tx1">
                    <a:lumMod val="65000"/>
                    <a:lumOff val="35000"/>
                  </a:schemeClr>
                </a:solidFill>
                <a:round/>
              </a:ln>
              <a:effectLst/>
            </c:spPr>
          </c:errBars>
          <c:xVal>
            <c:numRef>
              <c:f>'composizione gassosa'!$B$8:$B$12</c:f>
              <c:numCache>
                <c:formatCode>General</c:formatCode>
                <c:ptCount val="5"/>
                <c:pt idx="0">
                  <c:v>0</c:v>
                </c:pt>
                <c:pt idx="1">
                  <c:v>3</c:v>
                </c:pt>
                <c:pt idx="2">
                  <c:v>6</c:v>
                </c:pt>
                <c:pt idx="3">
                  <c:v>9</c:v>
                </c:pt>
                <c:pt idx="4">
                  <c:v>14</c:v>
                </c:pt>
              </c:numCache>
            </c:numRef>
          </c:xVal>
          <c:yVal>
            <c:numRef>
              <c:f>'composizione gassosa'!$D$8:$D$12</c:f>
              <c:numCache>
                <c:formatCode>0.0</c:formatCode>
                <c:ptCount val="5"/>
                <c:pt idx="0" formatCode="General">
                  <c:v>0</c:v>
                </c:pt>
                <c:pt idx="1">
                  <c:v>1.45</c:v>
                </c:pt>
                <c:pt idx="2">
                  <c:v>4.25</c:v>
                </c:pt>
                <c:pt idx="3">
                  <c:v>3.7</c:v>
                </c:pt>
                <c:pt idx="4">
                  <c:v>6.85</c:v>
                </c:pt>
              </c:numCache>
            </c:numRef>
          </c:yVal>
          <c:smooth val="0"/>
          <c:extLst>
            <c:ext xmlns:c16="http://schemas.microsoft.com/office/drawing/2014/chart" uri="{C3380CC4-5D6E-409C-BE32-E72D297353CC}">
              <c16:uniqueId val="{00000001-17CE-410B-A4D8-1FCB9129ECF6}"/>
            </c:ext>
          </c:extLst>
        </c:ser>
        <c:dLbls>
          <c:showLegendKey val="0"/>
          <c:showVal val="0"/>
          <c:showCatName val="0"/>
          <c:showSerName val="0"/>
          <c:showPercent val="0"/>
          <c:showBubbleSize val="0"/>
        </c:dLbls>
        <c:axId val="1193379056"/>
        <c:axId val="1193379888"/>
      </c:scatterChart>
      <c:valAx>
        <c:axId val="1193379056"/>
        <c:scaling>
          <c:orientation val="minMax"/>
          <c:max val="14"/>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time (days)</a:t>
                </a:r>
              </a:p>
            </c:rich>
          </c:tx>
          <c:layout>
            <c:manualLayout>
              <c:xMode val="edge"/>
              <c:yMode val="edge"/>
              <c:x val="0.44916496707886366"/>
              <c:y val="0.8294950131233594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193379888"/>
        <c:crosses val="autoZero"/>
        <c:crossBetween val="midCat"/>
        <c:majorUnit val="2"/>
        <c:minorUnit val="1"/>
      </c:valAx>
      <c:valAx>
        <c:axId val="119337988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a:t>
                </a:r>
                <a:r>
                  <a:rPr lang="en-US" baseline="-25000"/>
                  <a:t>2</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1933790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A</a:t>
            </a:r>
          </a:p>
        </c:rich>
      </c:tx>
      <c:layout>
        <c:manualLayout>
          <c:xMode val="edge"/>
          <c:yMode val="edge"/>
          <c:x val="0.89166666666666672"/>
          <c:y val="5.305039787798408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0.22177501224790774"/>
          <c:y val="4.4247787610619468E-2"/>
          <c:w val="0.71048925972130328"/>
          <c:h val="0.64792661722930034"/>
        </c:manualLayout>
      </c:layout>
      <c:scatterChart>
        <c:scatterStyle val="lineMarker"/>
        <c:varyColors val="0"/>
        <c:ser>
          <c:idx val="0"/>
          <c:order val="0"/>
          <c:tx>
            <c:v>control</c:v>
          </c:tx>
          <c:spPr>
            <a:ln w="25400" cap="rnd">
              <a:noFill/>
              <a:round/>
            </a:ln>
            <a:effectLst/>
          </c:spPr>
          <c:marker>
            <c:symbol val="circle"/>
            <c:size val="5"/>
            <c:spPr>
              <a:solidFill>
                <a:schemeClr val="tx1"/>
              </a:solidFill>
              <a:ln w="9525">
                <a:solidFill>
                  <a:schemeClr val="tx1"/>
                </a:solidFill>
              </a:ln>
              <a:effectLst/>
            </c:spPr>
          </c:marker>
          <c:errBars>
            <c:errDir val="y"/>
            <c:errBarType val="both"/>
            <c:errValType val="cust"/>
            <c:noEndCap val="0"/>
            <c:plus>
              <c:numRef>
                <c:f>'composizione gassosa'!$G$2:$G$6</c:f>
                <c:numCache>
                  <c:formatCode>General</c:formatCode>
                  <c:ptCount val="5"/>
                  <c:pt idx="0">
                    <c:v>0</c:v>
                  </c:pt>
                  <c:pt idx="1">
                    <c:v>0.3</c:v>
                  </c:pt>
                  <c:pt idx="2">
                    <c:v>0.9</c:v>
                  </c:pt>
                  <c:pt idx="3">
                    <c:v>0.7</c:v>
                  </c:pt>
                  <c:pt idx="4">
                    <c:v>0.35355339059327379</c:v>
                  </c:pt>
                </c:numCache>
              </c:numRef>
            </c:plus>
            <c:minus>
              <c:numRef>
                <c:f>'composizione gassosa'!$G$2:$G$6</c:f>
                <c:numCache>
                  <c:formatCode>General</c:formatCode>
                  <c:ptCount val="5"/>
                  <c:pt idx="0">
                    <c:v>0</c:v>
                  </c:pt>
                  <c:pt idx="1">
                    <c:v>0.3</c:v>
                  </c:pt>
                  <c:pt idx="2">
                    <c:v>0.9</c:v>
                  </c:pt>
                  <c:pt idx="3">
                    <c:v>0.7</c:v>
                  </c:pt>
                  <c:pt idx="4">
                    <c:v>0.35355339059327379</c:v>
                  </c:pt>
                </c:numCache>
              </c:numRef>
            </c:minus>
            <c:spPr>
              <a:noFill/>
              <a:ln w="9525" cap="flat" cmpd="sng" algn="ctr">
                <a:solidFill>
                  <a:schemeClr val="tx1">
                    <a:lumMod val="65000"/>
                    <a:lumOff val="35000"/>
                  </a:schemeClr>
                </a:solidFill>
                <a:round/>
              </a:ln>
              <a:effectLst/>
            </c:spPr>
          </c:errBars>
          <c:xVal>
            <c:numRef>
              <c:f>'composizione gassosa'!$B$2:$B$6</c:f>
              <c:numCache>
                <c:formatCode>General</c:formatCode>
                <c:ptCount val="5"/>
                <c:pt idx="0">
                  <c:v>0</c:v>
                </c:pt>
                <c:pt idx="1">
                  <c:v>3</c:v>
                </c:pt>
                <c:pt idx="2">
                  <c:v>6</c:v>
                </c:pt>
                <c:pt idx="3">
                  <c:v>9</c:v>
                </c:pt>
                <c:pt idx="4">
                  <c:v>14</c:v>
                </c:pt>
              </c:numCache>
            </c:numRef>
          </c:xVal>
          <c:yVal>
            <c:numRef>
              <c:f>'composizione gassosa'!$C$2:$C$6</c:f>
              <c:numCache>
                <c:formatCode>General</c:formatCode>
                <c:ptCount val="5"/>
                <c:pt idx="0">
                  <c:v>21</c:v>
                </c:pt>
                <c:pt idx="1">
                  <c:v>16.7</c:v>
                </c:pt>
                <c:pt idx="2">
                  <c:v>12.1</c:v>
                </c:pt>
                <c:pt idx="3">
                  <c:v>10.7</c:v>
                </c:pt>
                <c:pt idx="4" formatCode="0">
                  <c:v>3.7249999999999996</c:v>
                </c:pt>
              </c:numCache>
            </c:numRef>
          </c:yVal>
          <c:smooth val="0"/>
          <c:extLst>
            <c:ext xmlns:c16="http://schemas.microsoft.com/office/drawing/2014/chart" uri="{C3380CC4-5D6E-409C-BE32-E72D297353CC}">
              <c16:uniqueId val="{00000000-9706-4829-B14B-CB7C786303E0}"/>
            </c:ext>
          </c:extLst>
        </c:ser>
        <c:ser>
          <c:idx val="1"/>
          <c:order val="1"/>
          <c:tx>
            <c:v>treated</c:v>
          </c:tx>
          <c:spPr>
            <a:ln w="25400" cap="rnd">
              <a:noFill/>
              <a:round/>
            </a:ln>
            <a:effectLst/>
          </c:spPr>
          <c:marker>
            <c:symbol val="triangle"/>
            <c:size val="5"/>
            <c:spPr>
              <a:noFill/>
              <a:ln w="9525">
                <a:solidFill>
                  <a:schemeClr val="tx1"/>
                </a:solidFill>
              </a:ln>
              <a:effectLst/>
            </c:spPr>
          </c:marker>
          <c:errBars>
            <c:errDir val="y"/>
            <c:errBarType val="both"/>
            <c:errValType val="cust"/>
            <c:noEndCap val="0"/>
            <c:plus>
              <c:numRef>
                <c:f>'composizione gassosa'!$F$8:$F$12</c:f>
                <c:numCache>
                  <c:formatCode>General</c:formatCode>
                  <c:ptCount val="5"/>
                  <c:pt idx="0">
                    <c:v>0</c:v>
                  </c:pt>
                  <c:pt idx="1">
                    <c:v>0.28284271247461801</c:v>
                  </c:pt>
                  <c:pt idx="2">
                    <c:v>1.0606601717798212</c:v>
                  </c:pt>
                  <c:pt idx="3">
                    <c:v>0.4</c:v>
                  </c:pt>
                  <c:pt idx="4">
                    <c:v>1.2657211383239195</c:v>
                  </c:pt>
                </c:numCache>
              </c:numRef>
            </c:plus>
            <c:minus>
              <c:numRef>
                <c:f>'composizione gassosa'!$F$8:$F$12</c:f>
                <c:numCache>
                  <c:formatCode>General</c:formatCode>
                  <c:ptCount val="5"/>
                  <c:pt idx="0">
                    <c:v>0</c:v>
                  </c:pt>
                  <c:pt idx="1">
                    <c:v>0.28284271247461801</c:v>
                  </c:pt>
                  <c:pt idx="2">
                    <c:v>1.0606601717798212</c:v>
                  </c:pt>
                  <c:pt idx="3">
                    <c:v>0.4</c:v>
                  </c:pt>
                  <c:pt idx="4">
                    <c:v>1.2657211383239195</c:v>
                  </c:pt>
                </c:numCache>
              </c:numRef>
            </c:minus>
            <c:spPr>
              <a:noFill/>
              <a:ln w="9525" cap="flat" cmpd="sng" algn="ctr">
                <a:solidFill>
                  <a:schemeClr val="tx1">
                    <a:lumMod val="65000"/>
                    <a:lumOff val="35000"/>
                  </a:schemeClr>
                </a:solidFill>
                <a:round/>
              </a:ln>
              <a:effectLst/>
            </c:spPr>
          </c:errBars>
          <c:xVal>
            <c:numRef>
              <c:f>'composizione gassosa'!$B$8:$B$12</c:f>
              <c:numCache>
                <c:formatCode>General</c:formatCode>
                <c:ptCount val="5"/>
                <c:pt idx="0">
                  <c:v>0</c:v>
                </c:pt>
                <c:pt idx="1">
                  <c:v>3</c:v>
                </c:pt>
                <c:pt idx="2">
                  <c:v>6</c:v>
                </c:pt>
                <c:pt idx="3">
                  <c:v>9</c:v>
                </c:pt>
                <c:pt idx="4">
                  <c:v>14</c:v>
                </c:pt>
              </c:numCache>
            </c:numRef>
          </c:xVal>
          <c:yVal>
            <c:numRef>
              <c:f>'composizione gassosa'!$C$8:$C$12</c:f>
              <c:numCache>
                <c:formatCode>0.0</c:formatCode>
                <c:ptCount val="5"/>
                <c:pt idx="0" formatCode="General">
                  <c:v>21</c:v>
                </c:pt>
                <c:pt idx="1">
                  <c:v>18.7</c:v>
                </c:pt>
                <c:pt idx="2">
                  <c:v>15.15</c:v>
                </c:pt>
                <c:pt idx="3">
                  <c:v>14.95</c:v>
                </c:pt>
                <c:pt idx="4" formatCode="0">
                  <c:v>10.605</c:v>
                </c:pt>
              </c:numCache>
            </c:numRef>
          </c:yVal>
          <c:smooth val="0"/>
          <c:extLst>
            <c:ext xmlns:c16="http://schemas.microsoft.com/office/drawing/2014/chart" uri="{C3380CC4-5D6E-409C-BE32-E72D297353CC}">
              <c16:uniqueId val="{00000001-9706-4829-B14B-CB7C786303E0}"/>
            </c:ext>
          </c:extLst>
        </c:ser>
        <c:dLbls>
          <c:showLegendKey val="0"/>
          <c:showVal val="0"/>
          <c:showCatName val="0"/>
          <c:showSerName val="0"/>
          <c:showPercent val="0"/>
          <c:showBubbleSize val="0"/>
        </c:dLbls>
        <c:axId val="1193379056"/>
        <c:axId val="1193379888"/>
      </c:scatterChart>
      <c:valAx>
        <c:axId val="1193379056"/>
        <c:scaling>
          <c:orientation val="minMax"/>
          <c:max val="14"/>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time (days)</a:t>
                </a:r>
              </a:p>
            </c:rich>
          </c:tx>
          <c:layout>
            <c:manualLayout>
              <c:xMode val="edge"/>
              <c:yMode val="edge"/>
              <c:x val="0.43271050578137193"/>
              <c:y val="0.8263029720754401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193379888"/>
        <c:crosses val="autoZero"/>
        <c:crossBetween val="midCat"/>
        <c:majorUnit val="2"/>
      </c:valAx>
      <c:valAx>
        <c:axId val="1193379888"/>
        <c:scaling>
          <c:orientation val="minMax"/>
          <c:max val="22"/>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a:t>
                </a:r>
                <a:r>
                  <a:rPr lang="en-US" baseline="-25000"/>
                  <a:t>2</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t-IT"/>
          </a:p>
        </c:txPr>
        <c:crossAx val="11933790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8D2DCC3BD30541B5B5BD7883BD8BD7" ma:contentTypeVersion="2" ma:contentTypeDescription="Create a new document." ma:contentTypeScope="" ma:versionID="4d49814fb8cd31f67366b6f2add9adf7">
  <xsd:schema xmlns:xsd="http://www.w3.org/2001/XMLSchema" xmlns:xs="http://www.w3.org/2001/XMLSchema" xmlns:p="http://schemas.microsoft.com/office/2006/metadata/properties" xmlns:ns2="17cb46fe-fb09-4fdf-a472-4e2c88d31c8c" targetNamespace="http://schemas.microsoft.com/office/2006/metadata/properties" ma:root="true" ma:fieldsID="9d81602c6ab2cdb31de45179d8b59fdf" ns2:_="">
    <xsd:import namespace="17cb46fe-fb09-4fdf-a472-4e2c88d31c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b46fe-fb09-4fdf-a472-4e2c88d31c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D4C6E-768B-47C3-9BCA-AD3DFDAB7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b46fe-fb09-4fdf-a472-4e2c88d31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A512D-2DF4-46B8-985E-05DF0001C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09951-ABF1-4C00-95F2-C90DF9A318BB}">
  <ds:schemaRefs>
    <ds:schemaRef ds:uri="http://schemas.microsoft.com/sharepoint/v3/contenttype/forms"/>
  </ds:schemaRefs>
</ds:datastoreItem>
</file>

<file path=customXml/itemProps4.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11533</Words>
  <Characters>65739</Characters>
  <Application>Microsoft Office Word</Application>
  <DocSecurity>0</DocSecurity>
  <Lines>547</Lines>
  <Paragraphs>154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ELENA TORRIERI</cp:lastModifiedBy>
  <cp:revision>4</cp:revision>
  <cp:lastPrinted>2015-05-12T18:31:00Z</cp:lastPrinted>
  <dcterms:created xsi:type="dcterms:W3CDTF">2023-03-09T23:17:00Z</dcterms:created>
  <dcterms:modified xsi:type="dcterms:W3CDTF">2023-06-07T09:01:00Z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http://www.zotero.org/styles/harvard-cite-them-right</vt:lpwstr>
  </property>
  <property fmtid="{D5CDD505-2E9C-101B-9397-08002B2CF9AE}" pid="9" name="Mendeley Recent Style Name 2_1">
    <vt:lpwstr>Cite Them Right 10th edition - Harvard</vt:lpwstr>
  </property>
  <property fmtid="{D5CDD505-2E9C-101B-9397-08002B2CF9AE}" pid="10" name="Mendeley Recent Style Id 3_1">
    <vt:lpwstr>http://www.zotero.org/styles/food-chemistry</vt:lpwstr>
  </property>
  <property fmtid="{D5CDD505-2E9C-101B-9397-08002B2CF9AE}" pid="11" name="Mendeley Recent Style Name 3_1">
    <vt:lpwstr>Food Chemistry</vt:lpwstr>
  </property>
  <property fmtid="{D5CDD505-2E9C-101B-9397-08002B2CF9AE}" pid="12" name="Mendeley Recent Style Id 4_1">
    <vt:lpwstr>http://www.zotero.org/styles/food-hydrocolloids</vt:lpwstr>
  </property>
  <property fmtid="{D5CDD505-2E9C-101B-9397-08002B2CF9AE}" pid="13" name="Mendeley Recent Style Name 4_1">
    <vt:lpwstr>Food Hydrocolloids</vt:lpwstr>
  </property>
  <property fmtid="{D5CDD505-2E9C-101B-9397-08002B2CF9AE}" pid="14" name="Mendeley Recent Style Id 5_1">
    <vt:lpwstr>http://www.zotero.org/styles/food-packaging-and-shelf-life</vt:lpwstr>
  </property>
  <property fmtid="{D5CDD505-2E9C-101B-9397-08002B2CF9AE}" pid="15" name="Mendeley Recent Style Name 5_1">
    <vt:lpwstr>Food Packaging and Shelf Life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3f9b49db-3da5-3331-9f7f-11efeba8bc46</vt:lpwstr>
  </property>
  <property fmtid="{D5CDD505-2E9C-101B-9397-08002B2CF9AE}" pid="26" name="Mendeley Citation Style_1">
    <vt:lpwstr>http://www.zotero.org/styles/apa</vt:lpwstr>
  </property>
  <property fmtid="{D5CDD505-2E9C-101B-9397-08002B2CF9AE}" pid="27" name="ContentTypeId">
    <vt:lpwstr>0x010100F88D2DCC3BD30541B5B5BD7883BD8BD7</vt:lpwstr>
  </property>
  <property fmtid="{D5CDD505-2E9C-101B-9397-08002B2CF9AE}" pid="28" name="MSIP_Label_2ad0b24d-6422-44b0-b3de-abb3a9e8c81a_Enabled">
    <vt:lpwstr>true</vt:lpwstr>
  </property>
  <property fmtid="{D5CDD505-2E9C-101B-9397-08002B2CF9AE}" pid="29" name="MSIP_Label_2ad0b24d-6422-44b0-b3de-abb3a9e8c81a_SetDate">
    <vt:lpwstr>2023-06-07T08:57:00Z</vt:lpwstr>
  </property>
  <property fmtid="{D5CDD505-2E9C-101B-9397-08002B2CF9AE}" pid="30" name="MSIP_Label_2ad0b24d-6422-44b0-b3de-abb3a9e8c81a_Method">
    <vt:lpwstr>Standard</vt:lpwstr>
  </property>
  <property fmtid="{D5CDD505-2E9C-101B-9397-08002B2CF9AE}" pid="31" name="MSIP_Label_2ad0b24d-6422-44b0-b3de-abb3a9e8c81a_Name">
    <vt:lpwstr>defa4170-0d19-0005-0004-bc88714345d2</vt:lpwstr>
  </property>
  <property fmtid="{D5CDD505-2E9C-101B-9397-08002B2CF9AE}" pid="32" name="MSIP_Label_2ad0b24d-6422-44b0-b3de-abb3a9e8c81a_SiteId">
    <vt:lpwstr>2fcfe26a-bb62-46b0-b1e3-28f9da0c45fd</vt:lpwstr>
  </property>
  <property fmtid="{D5CDD505-2E9C-101B-9397-08002B2CF9AE}" pid="33" name="MSIP_Label_2ad0b24d-6422-44b0-b3de-abb3a9e8c81a_ActionId">
    <vt:lpwstr>c83eeea6-fae1-4557-8cc1-ad17589a030d</vt:lpwstr>
  </property>
  <property fmtid="{D5CDD505-2E9C-101B-9397-08002B2CF9AE}" pid="34" name="MSIP_Label_2ad0b24d-6422-44b0-b3de-abb3a9e8c81a_ContentBits">
    <vt:lpwstr>0</vt:lpwstr>
  </property>
</Properties>
</file>